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lef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附件1</w:t>
      </w:r>
    </w:p>
    <w:p>
      <w:pPr>
        <w:spacing w:line="280" w:lineRule="exact"/>
        <w:jc w:val="left"/>
        <w:rPr>
          <w:rFonts w:ascii="仿宋_GB2312" w:hAnsi="黑体" w:eastAsia="仿宋_GB2312"/>
          <w:color w:val="auto"/>
          <w:sz w:val="28"/>
          <w:szCs w:val="28"/>
          <w:highlight w:val="none"/>
        </w:rPr>
      </w:pPr>
    </w:p>
    <w:p>
      <w:pPr>
        <w:spacing w:line="500" w:lineRule="exact"/>
        <w:jc w:val="center"/>
        <w:rPr>
          <w:rFonts w:ascii="黑体" w:hAnsi="黑体" w:eastAsia="黑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公开招聘项目制员工岗位及条件详表</w:t>
      </w:r>
    </w:p>
    <w:tbl>
      <w:tblPr>
        <w:tblStyle w:val="6"/>
        <w:tblW w:w="15582" w:type="dxa"/>
        <w:jc w:val="center"/>
        <w:tblCellSpacing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1"/>
        <w:gridCol w:w="1695"/>
        <w:gridCol w:w="1191"/>
        <w:gridCol w:w="767"/>
        <w:gridCol w:w="8017"/>
        <w:gridCol w:w="1920"/>
        <w:gridCol w:w="134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1" w:hRule="atLeast"/>
          <w:tblHeader/>
          <w:tblCellSpacing w:w="0" w:type="dxa"/>
          <w:jc w:val="center"/>
        </w:trPr>
        <w:tc>
          <w:tcPr>
            <w:tcW w:w="651" w:type="dxa"/>
            <w:noWrap w:val="0"/>
            <w:vAlign w:val="center"/>
          </w:tcPr>
          <w:p>
            <w:pPr>
              <w:spacing w:line="320" w:lineRule="exact"/>
              <w:jc w:val="center"/>
              <w:rPr>
                <w:rFonts w:ascii="仿宋_GB2312" w:hAnsi="黑体" w:eastAsia="仿宋_GB2312"/>
                <w:bCs/>
                <w:color w:val="auto"/>
                <w:sz w:val="28"/>
                <w:szCs w:val="28"/>
                <w:highlight w:val="none"/>
              </w:rPr>
            </w:pPr>
            <w:r>
              <w:rPr>
                <w:rFonts w:hint="eastAsia" w:ascii="仿宋_GB2312" w:hAnsi="黑体" w:eastAsia="仿宋_GB2312"/>
                <w:bCs/>
                <w:color w:val="auto"/>
                <w:sz w:val="28"/>
                <w:szCs w:val="28"/>
                <w:highlight w:val="none"/>
              </w:rPr>
              <w:t>序号</w:t>
            </w:r>
          </w:p>
        </w:tc>
        <w:tc>
          <w:tcPr>
            <w:tcW w:w="1695" w:type="dxa"/>
            <w:noWrap w:val="0"/>
            <w:vAlign w:val="top"/>
          </w:tcPr>
          <w:p>
            <w:pPr>
              <w:spacing w:line="320" w:lineRule="exact"/>
              <w:jc w:val="center"/>
              <w:rPr>
                <w:rFonts w:hint="eastAsia" w:ascii="仿宋_GB2312" w:hAnsi="黑体" w:eastAsia="仿宋_GB2312"/>
                <w:bCs/>
                <w:color w:val="auto"/>
                <w:sz w:val="28"/>
                <w:szCs w:val="28"/>
                <w:highlight w:val="none"/>
              </w:rPr>
            </w:pPr>
            <w:r>
              <w:rPr>
                <w:rFonts w:hint="eastAsia" w:ascii="仿宋_GB2312" w:hAnsi="黑体" w:eastAsia="仿宋_GB2312"/>
                <w:bCs/>
                <w:color w:val="auto"/>
                <w:sz w:val="28"/>
                <w:szCs w:val="28"/>
                <w:highlight w:val="none"/>
              </w:rPr>
              <w:t>招聘单位</w:t>
            </w:r>
          </w:p>
        </w:tc>
        <w:tc>
          <w:tcPr>
            <w:tcW w:w="1191" w:type="dxa"/>
            <w:noWrap w:val="0"/>
            <w:vAlign w:val="center"/>
          </w:tcPr>
          <w:p>
            <w:pPr>
              <w:spacing w:line="320" w:lineRule="exact"/>
              <w:jc w:val="center"/>
              <w:rPr>
                <w:rFonts w:ascii="仿宋_GB2312" w:hAnsi="黑体" w:eastAsia="仿宋_GB2312"/>
                <w:bCs/>
                <w:color w:val="auto"/>
                <w:sz w:val="28"/>
                <w:szCs w:val="28"/>
                <w:highlight w:val="none"/>
              </w:rPr>
            </w:pPr>
            <w:r>
              <w:rPr>
                <w:rFonts w:hint="eastAsia" w:ascii="仿宋_GB2312" w:hAnsi="黑体" w:eastAsia="仿宋_GB2312"/>
                <w:bCs/>
                <w:color w:val="auto"/>
                <w:sz w:val="28"/>
                <w:szCs w:val="28"/>
                <w:highlight w:val="none"/>
              </w:rPr>
              <w:t>岗位</w:t>
            </w:r>
          </w:p>
        </w:tc>
        <w:tc>
          <w:tcPr>
            <w:tcW w:w="767" w:type="dxa"/>
            <w:noWrap w:val="0"/>
            <w:vAlign w:val="center"/>
          </w:tcPr>
          <w:p>
            <w:pPr>
              <w:spacing w:line="320" w:lineRule="exact"/>
              <w:jc w:val="center"/>
              <w:rPr>
                <w:rFonts w:ascii="仿宋_GB2312" w:hAnsi="黑体" w:eastAsia="仿宋_GB2312"/>
                <w:bCs/>
                <w:color w:val="auto"/>
                <w:sz w:val="28"/>
                <w:szCs w:val="28"/>
                <w:highlight w:val="none"/>
              </w:rPr>
            </w:pPr>
            <w:r>
              <w:rPr>
                <w:rFonts w:hint="eastAsia" w:ascii="仿宋_GB2312" w:hAnsi="黑体" w:eastAsia="仿宋_GB2312"/>
                <w:bCs/>
                <w:color w:val="auto"/>
                <w:sz w:val="28"/>
                <w:szCs w:val="28"/>
                <w:highlight w:val="none"/>
              </w:rPr>
              <w:t>人数</w:t>
            </w:r>
          </w:p>
        </w:tc>
        <w:tc>
          <w:tcPr>
            <w:tcW w:w="8017" w:type="dxa"/>
            <w:noWrap w:val="0"/>
            <w:vAlign w:val="center"/>
          </w:tcPr>
          <w:p>
            <w:pPr>
              <w:spacing w:line="320" w:lineRule="exact"/>
              <w:jc w:val="center"/>
              <w:rPr>
                <w:rFonts w:ascii="仿宋_GB2312" w:hAnsi="黑体" w:eastAsia="仿宋_GB2312"/>
                <w:bCs/>
                <w:color w:val="auto"/>
                <w:sz w:val="28"/>
                <w:szCs w:val="28"/>
                <w:highlight w:val="none"/>
              </w:rPr>
            </w:pPr>
            <w:r>
              <w:rPr>
                <w:rFonts w:hint="eastAsia" w:ascii="仿宋_GB2312" w:hAnsi="黑体" w:eastAsia="仿宋_GB2312"/>
                <w:bCs/>
                <w:color w:val="auto"/>
                <w:sz w:val="28"/>
                <w:szCs w:val="28"/>
                <w:highlight w:val="none"/>
              </w:rPr>
              <w:t>条件要求</w:t>
            </w:r>
          </w:p>
        </w:tc>
        <w:tc>
          <w:tcPr>
            <w:tcW w:w="1920" w:type="dxa"/>
            <w:noWrap w:val="0"/>
            <w:vAlign w:val="top"/>
          </w:tcPr>
          <w:p>
            <w:pPr>
              <w:spacing w:line="320" w:lineRule="exact"/>
              <w:jc w:val="center"/>
              <w:rPr>
                <w:rFonts w:hint="eastAsia" w:ascii="仿宋_GB2312" w:hAnsi="黑体" w:eastAsia="仿宋_GB2312"/>
                <w:bCs/>
                <w:color w:val="auto"/>
                <w:sz w:val="28"/>
                <w:szCs w:val="28"/>
                <w:highlight w:val="none"/>
              </w:rPr>
            </w:pPr>
            <w:r>
              <w:rPr>
                <w:rFonts w:hint="eastAsia" w:ascii="仿宋_GB2312" w:hAnsi="黑体" w:eastAsia="仿宋_GB2312"/>
                <w:bCs/>
                <w:color w:val="auto"/>
                <w:sz w:val="28"/>
                <w:szCs w:val="28"/>
                <w:highlight w:val="none"/>
              </w:rPr>
              <w:t>薪资</w:t>
            </w:r>
          </w:p>
        </w:tc>
        <w:tc>
          <w:tcPr>
            <w:tcW w:w="1341" w:type="dxa"/>
            <w:noWrap w:val="0"/>
            <w:vAlign w:val="top"/>
          </w:tcPr>
          <w:p>
            <w:pPr>
              <w:spacing w:line="320" w:lineRule="exact"/>
              <w:jc w:val="center"/>
              <w:rPr>
                <w:rFonts w:hint="eastAsia" w:ascii="仿宋_GB2312" w:hAnsi="黑体" w:eastAsia="仿宋_GB2312"/>
                <w:bCs/>
                <w:color w:val="auto"/>
                <w:sz w:val="28"/>
                <w:szCs w:val="28"/>
                <w:highlight w:val="none"/>
              </w:rPr>
            </w:pPr>
            <w:r>
              <w:rPr>
                <w:rFonts w:hint="eastAsia" w:ascii="仿宋_GB2312" w:hAnsi="黑体" w:eastAsia="仿宋_GB2312"/>
                <w:bCs/>
                <w:color w:val="auto"/>
                <w:sz w:val="28"/>
                <w:szCs w:val="28"/>
                <w:highlight w:val="none"/>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6" w:hRule="atLeast"/>
          <w:tblCellSpacing w:w="0" w:type="dxa"/>
          <w:jc w:val="center"/>
        </w:trPr>
        <w:tc>
          <w:tcPr>
            <w:tcW w:w="651" w:type="dxa"/>
            <w:noWrap w:val="0"/>
            <w:vAlign w:val="center"/>
          </w:tcPr>
          <w:p>
            <w:pPr>
              <w:widowControl/>
              <w:spacing w:line="320" w:lineRule="exact"/>
              <w:jc w:val="center"/>
              <w:textAlignment w:val="cente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w:t>
            </w:r>
          </w:p>
        </w:tc>
        <w:tc>
          <w:tcPr>
            <w:tcW w:w="1695" w:type="dxa"/>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hint="eastAsia" w:ascii="仿宋_GB2312" w:hAnsi="仿宋_GB2312" w:eastAsia="仿宋_GB2312" w:cs="仿宋_GB2312"/>
                <w:bCs/>
                <w:color w:val="auto"/>
                <w:sz w:val="28"/>
                <w:szCs w:val="28"/>
                <w:highlight w:val="none"/>
              </w:rPr>
            </w:pPr>
          </w:p>
          <w:p>
            <w:pPr>
              <w:keepNext w:val="0"/>
              <w:keepLines w:val="0"/>
              <w:pageBreakBefore w:val="0"/>
              <w:kinsoku/>
              <w:wordWrap/>
              <w:overflowPunct/>
              <w:topLinePunct w:val="0"/>
              <w:autoSpaceDE/>
              <w:autoSpaceDN/>
              <w:bidi w:val="0"/>
              <w:adjustRightInd/>
              <w:snapToGrid/>
              <w:spacing w:line="320" w:lineRule="exact"/>
              <w:jc w:val="center"/>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绍兴市镜湖新能源发展有限公司</w:t>
            </w:r>
          </w:p>
          <w:p>
            <w:pPr>
              <w:keepNext w:val="0"/>
              <w:keepLines w:val="0"/>
              <w:pageBreakBefore w:val="0"/>
              <w:kinsoku/>
              <w:wordWrap/>
              <w:overflowPunct/>
              <w:topLinePunct w:val="0"/>
              <w:autoSpaceDE/>
              <w:autoSpaceDN/>
              <w:bidi w:val="0"/>
              <w:adjustRightInd/>
              <w:snapToGrid/>
              <w:spacing w:line="320" w:lineRule="exact"/>
              <w:jc w:val="center"/>
              <w:rPr>
                <w:rFonts w:hint="eastAsia" w:ascii="仿宋_GB2312" w:hAnsi="仿宋_GB2312" w:eastAsia="仿宋_GB2312" w:cs="仿宋_GB2312"/>
                <w:bCs/>
                <w:color w:val="auto"/>
                <w:sz w:val="28"/>
                <w:szCs w:val="28"/>
                <w:highlight w:val="none"/>
              </w:rPr>
            </w:pPr>
          </w:p>
        </w:tc>
        <w:tc>
          <w:tcPr>
            <w:tcW w:w="1191" w:type="dxa"/>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仿宋_GB2312" w:hAnsi="仿宋_GB2312" w:eastAsia="仿宋_GB2312" w:cs="仿宋_GB2312"/>
                <w:color w:val="auto"/>
                <w:kern w:val="0"/>
                <w:sz w:val="28"/>
                <w:szCs w:val="28"/>
                <w:highlight w:val="none"/>
                <w:lang w:bidi="ar"/>
              </w:rPr>
            </w:pPr>
            <w:r>
              <w:rPr>
                <w:rFonts w:hint="eastAsia" w:ascii="仿宋_GB2312" w:hAnsi="仿宋_GB2312" w:eastAsia="仿宋_GB2312" w:cs="仿宋_GB2312"/>
                <w:color w:val="auto"/>
                <w:kern w:val="0"/>
                <w:sz w:val="28"/>
                <w:szCs w:val="28"/>
                <w:highlight w:val="none"/>
                <w:lang w:bidi="ar"/>
              </w:rPr>
              <w:t>新能源</w:t>
            </w:r>
          </w:p>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仿宋_GB2312" w:hAnsi="仿宋_GB2312" w:eastAsia="仿宋_GB2312" w:cs="仿宋_GB2312"/>
                <w:color w:val="auto"/>
                <w:kern w:val="0"/>
                <w:sz w:val="24"/>
                <w:highlight w:val="none"/>
                <w:lang w:bidi="ar"/>
              </w:rPr>
            </w:pPr>
            <w:r>
              <w:rPr>
                <w:rFonts w:hint="eastAsia" w:ascii="仿宋_GB2312" w:hAnsi="仿宋_GB2312" w:eastAsia="仿宋_GB2312" w:cs="仿宋_GB2312"/>
                <w:color w:val="auto"/>
                <w:kern w:val="0"/>
                <w:sz w:val="28"/>
                <w:szCs w:val="28"/>
                <w:highlight w:val="none"/>
                <w:lang w:bidi="ar"/>
              </w:rPr>
              <w:t>智能化</w:t>
            </w:r>
          </w:p>
        </w:tc>
        <w:tc>
          <w:tcPr>
            <w:tcW w:w="767" w:type="dxa"/>
            <w:noWrap w:val="0"/>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仿宋_GB2312" w:hAnsi="仿宋_GB2312" w:eastAsia="仿宋_GB2312" w:cs="仿宋_GB2312"/>
                <w:color w:val="auto"/>
                <w:kern w:val="0"/>
                <w:sz w:val="24"/>
                <w:highlight w:val="none"/>
                <w:lang w:bidi="ar"/>
              </w:rPr>
            </w:pPr>
            <w:r>
              <w:rPr>
                <w:rFonts w:hint="eastAsia" w:ascii="仿宋_GB2312" w:hAnsi="仿宋_GB2312" w:eastAsia="仿宋_GB2312" w:cs="仿宋_GB2312"/>
                <w:color w:val="auto"/>
                <w:kern w:val="0"/>
                <w:sz w:val="28"/>
                <w:szCs w:val="28"/>
                <w:highlight w:val="none"/>
                <w:lang w:bidi="ar"/>
              </w:rPr>
              <w:t>1</w:t>
            </w:r>
          </w:p>
        </w:tc>
        <w:tc>
          <w:tcPr>
            <w:tcW w:w="8017" w:type="dxa"/>
            <w:noWrap w:val="0"/>
            <w:vAlign w:val="center"/>
          </w:tcPr>
          <w:p>
            <w:pPr>
              <w:keepNext w:val="0"/>
              <w:keepLines w:val="0"/>
              <w:pageBreakBefore w:val="0"/>
              <w:widowControl/>
              <w:kinsoku/>
              <w:wordWrap/>
              <w:overflowPunct/>
              <w:topLinePunct w:val="0"/>
              <w:autoSpaceDE/>
              <w:autoSpaceDN/>
              <w:bidi w:val="0"/>
              <w:adjustRightInd/>
              <w:snapToGrid/>
              <w:spacing w:line="320" w:lineRule="exact"/>
              <w:textAlignment w:val="center"/>
              <w:rPr>
                <w:rFonts w:hint="eastAsia" w:ascii="仿宋_GB2312" w:hAnsi="仿宋_GB2312" w:eastAsia="仿宋_GB2312" w:cs="仿宋_GB2312"/>
                <w:color w:val="auto"/>
                <w:kern w:val="0"/>
                <w:sz w:val="24"/>
                <w:highlight w:val="none"/>
                <w:lang w:bidi="ar"/>
              </w:rPr>
            </w:pPr>
            <w:r>
              <w:rPr>
                <w:rFonts w:hint="eastAsia" w:ascii="仿宋_GB2312" w:hAnsi="仿宋_GB2312" w:eastAsia="仿宋_GB2312" w:cs="仿宋_GB2312"/>
                <w:color w:val="auto"/>
                <w:kern w:val="0"/>
                <w:sz w:val="28"/>
                <w:szCs w:val="28"/>
                <w:highlight w:val="none"/>
                <w:lang w:bidi="ar"/>
              </w:rPr>
              <w:t>35周岁及以下；全日制本科及以上学历，并具有相应学位；专业：本科：</w:t>
            </w:r>
            <w:r>
              <w:rPr>
                <w:rFonts w:ascii="仿宋_GB2312" w:hAnsi="仿宋_GB2312" w:eastAsia="仿宋_GB2312" w:cs="仿宋_GB2312"/>
                <w:color w:val="auto"/>
                <w:kern w:val="0"/>
                <w:sz w:val="28"/>
                <w:szCs w:val="28"/>
                <w:highlight w:val="none"/>
                <w:lang w:bidi="ar"/>
              </w:rPr>
              <w:t>新能源科学与工程</w:t>
            </w:r>
            <w:r>
              <w:rPr>
                <w:rFonts w:hint="eastAsia" w:ascii="仿宋_GB2312" w:hAnsi="仿宋_GB2312" w:eastAsia="仿宋_GB2312" w:cs="仿宋_GB2312"/>
                <w:color w:val="auto"/>
                <w:kern w:val="0"/>
                <w:sz w:val="28"/>
                <w:szCs w:val="28"/>
                <w:highlight w:val="none"/>
                <w:lang w:bidi="ar"/>
              </w:rPr>
              <w:t>、储能材料工程技术、储能科学与工程、电气工程与自动化、智能电网工程技术</w:t>
            </w:r>
            <w:r>
              <w:rPr>
                <w:rFonts w:ascii="仿宋_GB2312" w:hAnsi="仿宋_GB2312" w:eastAsia="仿宋_GB2312" w:cs="仿宋_GB2312"/>
                <w:color w:val="auto"/>
                <w:kern w:val="0"/>
                <w:sz w:val="28"/>
                <w:szCs w:val="28"/>
                <w:highlight w:val="none"/>
                <w:lang w:bidi="ar"/>
              </w:rPr>
              <w:t>；</w:t>
            </w:r>
            <w:r>
              <w:rPr>
                <w:rFonts w:hint="eastAsia" w:ascii="仿宋_GB2312" w:hAnsi="仿宋_GB2312" w:eastAsia="仿宋_GB2312" w:cs="仿宋_GB2312"/>
                <w:color w:val="auto"/>
                <w:kern w:val="0"/>
                <w:sz w:val="28"/>
                <w:szCs w:val="28"/>
                <w:highlight w:val="none"/>
                <w:lang w:bidi="ar"/>
              </w:rPr>
              <w:t>研究生：</w:t>
            </w:r>
            <w:r>
              <w:rPr>
                <w:rFonts w:ascii="仿宋_GB2312" w:hAnsi="仿宋_GB2312" w:eastAsia="仿宋_GB2312" w:cs="仿宋_GB2312"/>
                <w:color w:val="auto"/>
                <w:kern w:val="0"/>
                <w:sz w:val="28"/>
                <w:szCs w:val="28"/>
                <w:highlight w:val="none"/>
                <w:lang w:bidi="ar"/>
              </w:rPr>
              <w:t>新能源科学与工程</w:t>
            </w:r>
            <w:r>
              <w:rPr>
                <w:rFonts w:hint="eastAsia" w:ascii="仿宋_GB2312" w:hAnsi="仿宋_GB2312" w:eastAsia="仿宋_GB2312" w:cs="仿宋_GB2312"/>
                <w:color w:val="auto"/>
                <w:kern w:val="0"/>
                <w:sz w:val="28"/>
                <w:szCs w:val="28"/>
                <w:highlight w:val="none"/>
                <w:lang w:bidi="ar"/>
              </w:rPr>
              <w:t>；具有5年及以上在能源企业或电力系统负责建设、运营、维保岗位工作经历；具有10年及以上在同类型能源企业或电力系统负责建设、运营、维保岗位工作经历的，年龄可放宽至40周岁。</w:t>
            </w:r>
          </w:p>
        </w:tc>
        <w:tc>
          <w:tcPr>
            <w:tcW w:w="1920" w:type="dxa"/>
            <w:noWrap w:val="0"/>
            <w:vAlign w:val="center"/>
          </w:tcPr>
          <w:p>
            <w:pPr>
              <w:keepNext w:val="0"/>
              <w:keepLines w:val="0"/>
              <w:pageBreakBefore w:val="0"/>
              <w:kinsoku/>
              <w:wordWrap/>
              <w:overflowPunct/>
              <w:topLinePunct w:val="0"/>
              <w:autoSpaceDE/>
              <w:autoSpaceDN/>
              <w:bidi w:val="0"/>
              <w:adjustRightInd/>
              <w:snapToGrid/>
              <w:spacing w:line="320" w:lineRule="exact"/>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8"/>
                <w:szCs w:val="28"/>
                <w:highlight w:val="none"/>
              </w:rPr>
              <w:t>8000-12000元/月，13薪，缴纳社保</w:t>
            </w:r>
          </w:p>
        </w:tc>
        <w:tc>
          <w:tcPr>
            <w:tcW w:w="1341" w:type="dxa"/>
            <w:noWrap w:val="0"/>
            <w:vAlign w:val="center"/>
          </w:tcPr>
          <w:p>
            <w:pPr>
              <w:spacing w:line="320" w:lineRule="exact"/>
              <w:jc w:val="center"/>
              <w:rPr>
                <w:rFonts w:hint="eastAsia" w:ascii="仿宋_GB2312" w:hAnsi="黑体" w:eastAsia="仿宋_GB2312"/>
                <w:bCs/>
                <w:color w:val="auto"/>
                <w:sz w:val="28"/>
                <w:szCs w:val="28"/>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20" w:hRule="atLeast"/>
          <w:tblCellSpacing w:w="0" w:type="dxa"/>
          <w:jc w:val="center"/>
        </w:trPr>
        <w:tc>
          <w:tcPr>
            <w:tcW w:w="651" w:type="dxa"/>
            <w:noWrap w:val="0"/>
            <w:vAlign w:val="center"/>
          </w:tcPr>
          <w:p>
            <w:pPr>
              <w:widowControl/>
              <w:spacing w:line="320" w:lineRule="exact"/>
              <w:jc w:val="center"/>
              <w:textAlignment w:val="center"/>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val="en-US" w:eastAsia="zh-CN"/>
              </w:rPr>
              <w:t>2</w:t>
            </w:r>
          </w:p>
        </w:tc>
        <w:tc>
          <w:tcPr>
            <w:tcW w:w="1695" w:type="dxa"/>
            <w:noWrap w:val="0"/>
            <w:vAlign w:val="center"/>
          </w:tcPr>
          <w:p>
            <w:pPr>
              <w:spacing w:line="320" w:lineRule="exact"/>
              <w:jc w:val="cente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绍兴市镜湖置业有限公司</w:t>
            </w:r>
          </w:p>
        </w:tc>
        <w:tc>
          <w:tcPr>
            <w:tcW w:w="1191" w:type="dxa"/>
            <w:noWrap w:val="0"/>
            <w:vAlign w:val="center"/>
          </w:tcPr>
          <w:p>
            <w:pPr>
              <w:widowControl/>
              <w:spacing w:line="320" w:lineRule="exact"/>
              <w:jc w:val="center"/>
              <w:textAlignment w:val="center"/>
              <w:rPr>
                <w:rFonts w:hint="eastAsia" w:ascii="仿宋_GB2312" w:hAnsi="仿宋_GB2312" w:eastAsia="仿宋_GB2312" w:cs="仿宋_GB2312"/>
                <w:color w:val="auto"/>
                <w:kern w:val="0"/>
                <w:sz w:val="24"/>
                <w:highlight w:val="none"/>
                <w:lang w:bidi="ar"/>
              </w:rPr>
            </w:pPr>
            <w:r>
              <w:rPr>
                <w:rFonts w:hint="eastAsia" w:ascii="仿宋_GB2312" w:hAnsi="仿宋_GB2312" w:eastAsia="仿宋_GB2312" w:cs="仿宋_GB2312"/>
                <w:color w:val="auto"/>
                <w:kern w:val="0"/>
                <w:sz w:val="28"/>
                <w:szCs w:val="28"/>
                <w:highlight w:val="none"/>
                <w:lang w:bidi="ar"/>
              </w:rPr>
              <w:t>风控管理</w:t>
            </w:r>
          </w:p>
        </w:tc>
        <w:tc>
          <w:tcPr>
            <w:tcW w:w="767" w:type="dxa"/>
            <w:noWrap w:val="0"/>
            <w:vAlign w:val="center"/>
          </w:tcPr>
          <w:p>
            <w:pPr>
              <w:widowControl/>
              <w:spacing w:line="320" w:lineRule="exact"/>
              <w:jc w:val="center"/>
              <w:textAlignment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8"/>
                <w:szCs w:val="28"/>
                <w:highlight w:val="none"/>
              </w:rPr>
              <w:t>1</w:t>
            </w:r>
          </w:p>
        </w:tc>
        <w:tc>
          <w:tcPr>
            <w:tcW w:w="8017" w:type="dxa"/>
            <w:noWrap w:val="0"/>
            <w:vAlign w:val="center"/>
          </w:tcPr>
          <w:p>
            <w:pPr>
              <w:widowControl/>
              <w:spacing w:line="320" w:lineRule="exact"/>
              <w:textAlignment w:val="center"/>
              <w:rPr>
                <w:rFonts w:hint="eastAsia" w:ascii="仿宋_GB2312" w:hAnsi="仿宋_GB2312" w:eastAsia="仿宋_GB2312" w:cs="仿宋_GB2312"/>
                <w:color w:val="auto"/>
                <w:kern w:val="0"/>
                <w:sz w:val="24"/>
                <w:highlight w:val="none"/>
                <w:lang w:bidi="ar"/>
              </w:rPr>
            </w:pPr>
            <w:r>
              <w:rPr>
                <w:rFonts w:hint="eastAsia" w:ascii="仿宋_GB2312" w:hAnsi="仿宋_GB2312" w:eastAsia="仿宋_GB2312" w:cs="仿宋_GB2312"/>
                <w:color w:val="auto"/>
                <w:sz w:val="28"/>
                <w:szCs w:val="28"/>
                <w:highlight w:val="none"/>
              </w:rPr>
              <w:t>35周岁及以下；全日制本科及以上学历，并具有相应学位；专业：本科：法学类、金融学类、工商管理类（金融学类、工商管理类专业的，还需取得A类法律职业资格证书）；研究生：法学类、工商管理类(工商管理类专业的，还需取得A类法律职业资格证书）;具有3年及以上法务工作经历；</w:t>
            </w:r>
            <w:r>
              <w:rPr>
                <w:rFonts w:ascii="仿宋_GB2312" w:hAnsi="仿宋_GB2312" w:eastAsia="仿宋_GB2312" w:cs="仿宋_GB2312"/>
                <w:color w:val="auto"/>
                <w:sz w:val="28"/>
                <w:szCs w:val="28"/>
                <w:highlight w:val="none"/>
              </w:rPr>
              <w:t>研究生</w:t>
            </w:r>
            <w:r>
              <w:rPr>
                <w:rFonts w:hint="eastAsia" w:ascii="仿宋_GB2312" w:hAnsi="仿宋_GB2312" w:eastAsia="仿宋_GB2312" w:cs="仿宋_GB2312"/>
                <w:color w:val="auto"/>
                <w:sz w:val="28"/>
                <w:szCs w:val="28"/>
                <w:highlight w:val="none"/>
              </w:rPr>
              <w:t>及以上学历的，年龄可放宽至40周岁。</w:t>
            </w:r>
          </w:p>
        </w:tc>
        <w:tc>
          <w:tcPr>
            <w:tcW w:w="1920" w:type="dxa"/>
            <w:noWrap w:val="0"/>
            <w:vAlign w:val="center"/>
          </w:tcPr>
          <w:p>
            <w:pPr>
              <w:spacing w:line="320" w:lineRule="exact"/>
              <w:jc w:val="center"/>
              <w:rPr>
                <w:rFonts w:hint="eastAsia" w:ascii="仿宋_GB2312" w:hAnsi="仿宋_GB2312" w:eastAsia="仿宋_GB2312" w:cs="仿宋_GB2312"/>
                <w:color w:val="auto"/>
                <w:sz w:val="24"/>
                <w:highlight w:val="none"/>
              </w:rPr>
            </w:pPr>
            <w:r>
              <w:rPr>
                <w:rFonts w:hint="eastAsia" w:ascii="仿宋_GB2312" w:hAnsi="仿宋_GB2312" w:cs="仿宋_GB2312"/>
                <w:color w:val="auto"/>
                <w:sz w:val="28"/>
                <w:szCs w:val="28"/>
                <w:highlight w:val="none"/>
              </w:rPr>
              <w:t>6000</w:t>
            </w:r>
            <w:r>
              <w:rPr>
                <w:rFonts w:hint="eastAsia" w:ascii="仿宋_GB2312" w:hAnsi="仿宋_GB2312" w:eastAsia="仿宋_GB2312" w:cs="仿宋_GB2312"/>
                <w:color w:val="auto"/>
                <w:sz w:val="28"/>
                <w:szCs w:val="28"/>
                <w:highlight w:val="none"/>
              </w:rPr>
              <w:t>-</w:t>
            </w:r>
            <w:r>
              <w:rPr>
                <w:rFonts w:hint="eastAsia" w:ascii="仿宋_GB2312" w:hAnsi="仿宋_GB2312" w:cs="仿宋_GB2312"/>
                <w:color w:val="auto"/>
                <w:sz w:val="28"/>
                <w:szCs w:val="28"/>
                <w:highlight w:val="none"/>
              </w:rPr>
              <w:t>8000</w:t>
            </w:r>
            <w:r>
              <w:rPr>
                <w:rFonts w:hint="eastAsia" w:ascii="仿宋_GB2312" w:hAnsi="仿宋_GB2312" w:eastAsia="仿宋_GB2312" w:cs="仿宋_GB2312"/>
                <w:color w:val="auto"/>
                <w:sz w:val="28"/>
                <w:szCs w:val="28"/>
                <w:highlight w:val="none"/>
              </w:rPr>
              <w:t>元/月，13薪，缴纳社保</w:t>
            </w:r>
          </w:p>
        </w:tc>
        <w:tc>
          <w:tcPr>
            <w:tcW w:w="1341" w:type="dxa"/>
            <w:noWrap w:val="0"/>
            <w:vAlign w:val="center"/>
          </w:tcPr>
          <w:p>
            <w:pPr>
              <w:spacing w:line="320" w:lineRule="exact"/>
              <w:jc w:val="center"/>
              <w:rPr>
                <w:rFonts w:hint="eastAsia" w:ascii="仿宋_GB2312" w:hAnsi="仿宋_GB2312" w:eastAsia="仿宋_GB2312" w:cs="仿宋_GB2312"/>
                <w:bCs/>
                <w:color w:val="auto"/>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48" w:hRule="atLeast"/>
          <w:tblCellSpacing w:w="0" w:type="dxa"/>
          <w:jc w:val="center"/>
        </w:trPr>
        <w:tc>
          <w:tcPr>
            <w:tcW w:w="651" w:type="dxa"/>
            <w:noWrap w:val="0"/>
            <w:vAlign w:val="center"/>
          </w:tcPr>
          <w:p>
            <w:pPr>
              <w:widowControl/>
              <w:spacing w:line="320" w:lineRule="exact"/>
              <w:jc w:val="center"/>
              <w:textAlignment w:val="center"/>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val="en-US" w:eastAsia="zh-CN"/>
              </w:rPr>
              <w:t>3</w:t>
            </w:r>
          </w:p>
        </w:tc>
        <w:tc>
          <w:tcPr>
            <w:tcW w:w="1695" w:type="dxa"/>
            <w:noWrap w:val="0"/>
            <w:vAlign w:val="center"/>
          </w:tcPr>
          <w:p>
            <w:pPr>
              <w:spacing w:line="320" w:lineRule="exact"/>
              <w:jc w:val="center"/>
              <w:rPr>
                <w:rFonts w:hint="eastAsia" w:ascii="仿宋_GB2312" w:hAnsi="仿宋_GB2312" w:eastAsia="仿宋_GB2312" w:cs="仿宋_GB2312"/>
                <w:bCs/>
                <w:color w:val="auto"/>
                <w:sz w:val="24"/>
                <w:highlight w:val="none"/>
              </w:rPr>
            </w:pPr>
          </w:p>
          <w:p>
            <w:pPr>
              <w:spacing w:line="320" w:lineRule="exact"/>
              <w:jc w:val="center"/>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8"/>
                <w:szCs w:val="28"/>
                <w:highlight w:val="none"/>
              </w:rPr>
              <w:t>绍兴植物园项目建设开发有限公司</w:t>
            </w:r>
          </w:p>
        </w:tc>
        <w:tc>
          <w:tcPr>
            <w:tcW w:w="1191" w:type="dxa"/>
            <w:noWrap w:val="0"/>
            <w:vAlign w:val="center"/>
          </w:tcPr>
          <w:p>
            <w:pPr>
              <w:widowControl/>
              <w:spacing w:line="320" w:lineRule="exact"/>
              <w:jc w:val="center"/>
              <w:textAlignment w:val="center"/>
              <w:rPr>
                <w:rFonts w:hint="eastAsia" w:ascii="仿宋_GB2312" w:hAnsi="仿宋_GB2312" w:eastAsia="仿宋_GB2312" w:cs="仿宋_GB2312"/>
                <w:color w:val="auto"/>
                <w:kern w:val="0"/>
                <w:sz w:val="28"/>
                <w:szCs w:val="28"/>
                <w:highlight w:val="none"/>
                <w:lang w:bidi="ar"/>
              </w:rPr>
            </w:pPr>
            <w:r>
              <w:rPr>
                <w:rFonts w:ascii="仿宋_GB2312" w:hAnsi="仿宋_GB2312" w:eastAsia="仿宋_GB2312" w:cs="仿宋_GB2312"/>
                <w:color w:val="auto"/>
                <w:kern w:val="0"/>
                <w:sz w:val="28"/>
                <w:szCs w:val="28"/>
                <w:highlight w:val="none"/>
                <w:lang w:bidi="ar"/>
              </w:rPr>
              <w:t>招商专员</w:t>
            </w:r>
          </w:p>
        </w:tc>
        <w:tc>
          <w:tcPr>
            <w:tcW w:w="767" w:type="dxa"/>
            <w:noWrap w:val="0"/>
            <w:vAlign w:val="center"/>
          </w:tcPr>
          <w:p>
            <w:pPr>
              <w:widowControl/>
              <w:spacing w:line="320" w:lineRule="exact"/>
              <w:jc w:val="center"/>
              <w:textAlignment w:val="center"/>
              <w:rPr>
                <w:rFonts w:hint="eastAsia" w:ascii="仿宋_GB2312" w:hAnsi="仿宋_GB2312" w:eastAsia="仿宋_GB2312" w:cs="仿宋_GB2312"/>
                <w:color w:val="auto"/>
                <w:kern w:val="0"/>
                <w:sz w:val="28"/>
                <w:szCs w:val="28"/>
                <w:highlight w:val="none"/>
                <w:lang w:bidi="ar"/>
              </w:rPr>
            </w:pPr>
            <w:r>
              <w:rPr>
                <w:rFonts w:hint="eastAsia" w:ascii="仿宋_GB2312" w:hAnsi="仿宋_GB2312" w:eastAsia="仿宋_GB2312" w:cs="仿宋_GB2312"/>
                <w:color w:val="auto"/>
                <w:kern w:val="0"/>
                <w:sz w:val="28"/>
                <w:szCs w:val="28"/>
                <w:highlight w:val="none"/>
                <w:lang w:bidi="ar"/>
              </w:rPr>
              <w:t>1</w:t>
            </w:r>
          </w:p>
        </w:tc>
        <w:tc>
          <w:tcPr>
            <w:tcW w:w="8017" w:type="dxa"/>
            <w:noWrap w:val="0"/>
            <w:vAlign w:val="center"/>
          </w:tcPr>
          <w:p>
            <w:pPr>
              <w:widowControl/>
              <w:spacing w:line="320" w:lineRule="exact"/>
              <w:textAlignment w:val="center"/>
              <w:rPr>
                <w:rFonts w:hint="eastAsia" w:ascii="仿宋_GB2312" w:hAnsi="仿宋_GB2312" w:eastAsia="仿宋_GB2312" w:cs="仿宋_GB2312"/>
                <w:color w:val="auto"/>
                <w:kern w:val="0"/>
                <w:sz w:val="28"/>
                <w:szCs w:val="28"/>
                <w:highlight w:val="none"/>
                <w:lang w:bidi="ar"/>
              </w:rPr>
            </w:pPr>
            <w:r>
              <w:rPr>
                <w:rFonts w:hint="eastAsia" w:ascii="仿宋_GB2312" w:hAnsi="仿宋_GB2312" w:eastAsia="仿宋_GB2312" w:cs="仿宋_GB2312"/>
                <w:color w:val="auto"/>
                <w:kern w:val="0"/>
                <w:sz w:val="28"/>
                <w:szCs w:val="28"/>
                <w:highlight w:val="none"/>
                <w:lang w:bidi="ar"/>
              </w:rPr>
              <w:t>35周岁及以下；全日制本科及以上学历</w:t>
            </w:r>
            <w:r>
              <w:rPr>
                <w:rFonts w:hint="eastAsia" w:ascii="仿宋_GB2312" w:hAnsi="黑体" w:eastAsia="仿宋_GB2312"/>
                <w:color w:val="auto"/>
                <w:sz w:val="28"/>
                <w:szCs w:val="28"/>
                <w:highlight w:val="none"/>
              </w:rPr>
              <w:t>，并具有相应学位</w:t>
            </w:r>
            <w:r>
              <w:rPr>
                <w:rFonts w:hint="eastAsia" w:ascii="仿宋_GB2312" w:hAnsi="仿宋_GB2312" w:eastAsia="仿宋_GB2312" w:cs="仿宋_GB2312"/>
                <w:color w:val="auto"/>
                <w:kern w:val="0"/>
                <w:sz w:val="28"/>
                <w:szCs w:val="28"/>
                <w:highlight w:val="none"/>
                <w:lang w:bidi="ar"/>
              </w:rPr>
              <w:t>;专业:本科：电子商务类、工商管理类、统计学类、公共管理类，研究生：工商管理类、公共管理类;熟悉招商流程，具有2年以上招商经验(文旅、商业项目优先)；具备较强的沟通和谈判能力、市场分析能力，能独立完成招商任务；有新媒体运营经验或相关资格证书的或能尽快到岗的优先。</w:t>
            </w:r>
          </w:p>
        </w:tc>
        <w:tc>
          <w:tcPr>
            <w:tcW w:w="1920" w:type="dxa"/>
            <w:noWrap w:val="0"/>
            <w:vAlign w:val="center"/>
          </w:tcPr>
          <w:p>
            <w:pPr>
              <w:widowControl/>
              <w:spacing w:line="320" w:lineRule="exact"/>
              <w:jc w:val="center"/>
              <w:textAlignment w:val="cente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kern w:val="0"/>
                <w:sz w:val="28"/>
                <w:szCs w:val="28"/>
                <w:highlight w:val="none"/>
                <w:lang w:bidi="ar"/>
              </w:rPr>
              <w:t>6000-8000元</w:t>
            </w:r>
            <w:r>
              <w:rPr>
                <w:rFonts w:hint="eastAsia" w:ascii="仿宋_GB2312" w:hAnsi="仿宋_GB2312" w:eastAsia="仿宋_GB2312" w:cs="仿宋_GB2312"/>
                <w:color w:val="auto"/>
                <w:sz w:val="28"/>
                <w:szCs w:val="28"/>
                <w:highlight w:val="none"/>
              </w:rPr>
              <w:t>/月，13薪，缴纳社保</w:t>
            </w:r>
          </w:p>
        </w:tc>
        <w:tc>
          <w:tcPr>
            <w:tcW w:w="1341" w:type="dxa"/>
            <w:noWrap w:val="0"/>
            <w:vAlign w:val="center"/>
          </w:tcPr>
          <w:p>
            <w:pPr>
              <w:spacing w:line="320" w:lineRule="exact"/>
              <w:jc w:val="center"/>
              <w:rPr>
                <w:rFonts w:hint="eastAsia" w:ascii="仿宋_GB2312" w:hAnsi="黑体" w:eastAsia="仿宋_GB2312"/>
                <w:color w:val="auto"/>
                <w:sz w:val="28"/>
                <w:szCs w:val="28"/>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30" w:hRule="atLeast"/>
          <w:tblCellSpacing w:w="0" w:type="dxa"/>
          <w:jc w:val="center"/>
        </w:trPr>
        <w:tc>
          <w:tcPr>
            <w:tcW w:w="651" w:type="dxa"/>
            <w:noWrap w:val="0"/>
            <w:vAlign w:val="center"/>
          </w:tcPr>
          <w:p>
            <w:pPr>
              <w:widowControl/>
              <w:spacing w:line="320" w:lineRule="exact"/>
              <w:jc w:val="center"/>
              <w:textAlignment w:val="center"/>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val="en-US" w:eastAsia="zh-CN"/>
              </w:rPr>
              <w:t>4</w:t>
            </w:r>
          </w:p>
        </w:tc>
        <w:tc>
          <w:tcPr>
            <w:tcW w:w="1695" w:type="dxa"/>
            <w:vMerge w:val="restart"/>
            <w:noWrap w:val="0"/>
            <w:vAlign w:val="center"/>
          </w:tcPr>
          <w:p>
            <w:pPr>
              <w:spacing w:line="320" w:lineRule="exact"/>
              <w:jc w:val="center"/>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绍兴市镜湖健康产业开发有限公司</w:t>
            </w:r>
          </w:p>
          <w:p>
            <w:pPr>
              <w:spacing w:line="320" w:lineRule="exact"/>
              <w:rPr>
                <w:rFonts w:ascii="仿宋_GB2312" w:hAnsi="仿宋_GB2312" w:eastAsia="仿宋_GB2312" w:cs="仿宋_GB2312"/>
                <w:bCs/>
                <w:color w:val="auto"/>
                <w:sz w:val="24"/>
                <w:highlight w:val="none"/>
              </w:rPr>
            </w:pPr>
          </w:p>
        </w:tc>
        <w:tc>
          <w:tcPr>
            <w:tcW w:w="1191" w:type="dxa"/>
            <w:noWrap w:val="0"/>
            <w:vAlign w:val="center"/>
          </w:tcPr>
          <w:p>
            <w:pPr>
              <w:widowControl/>
              <w:spacing w:line="320" w:lineRule="exact"/>
              <w:jc w:val="center"/>
              <w:textAlignment w:val="center"/>
              <w:rPr>
                <w:rFonts w:hint="eastAsia" w:ascii="仿宋_GB2312" w:hAnsi="仿宋_GB2312" w:eastAsia="仿宋_GB2312" w:cs="仿宋_GB2312"/>
                <w:color w:val="auto"/>
                <w:kern w:val="0"/>
                <w:sz w:val="28"/>
                <w:szCs w:val="28"/>
                <w:highlight w:val="none"/>
                <w:lang w:bidi="ar"/>
              </w:rPr>
            </w:pPr>
            <w:r>
              <w:rPr>
                <w:rFonts w:hint="eastAsia" w:ascii="仿宋_GB2312" w:hAnsi="仿宋_GB2312" w:eastAsia="仿宋_GB2312" w:cs="仿宋_GB2312"/>
                <w:color w:val="auto"/>
                <w:kern w:val="0"/>
                <w:sz w:val="28"/>
                <w:szCs w:val="28"/>
                <w:highlight w:val="none"/>
                <w:lang w:bidi="ar"/>
              </w:rPr>
              <w:t>风控管理</w:t>
            </w:r>
          </w:p>
        </w:tc>
        <w:tc>
          <w:tcPr>
            <w:tcW w:w="767" w:type="dxa"/>
            <w:noWrap w:val="0"/>
            <w:vAlign w:val="center"/>
          </w:tcPr>
          <w:p>
            <w:pPr>
              <w:widowControl/>
              <w:spacing w:line="320" w:lineRule="exact"/>
              <w:jc w:val="center"/>
              <w:textAlignment w:val="center"/>
              <w:rPr>
                <w:rFonts w:hint="eastAsia" w:ascii="仿宋_GB2312" w:hAnsi="仿宋_GB2312" w:eastAsia="仿宋_GB2312" w:cs="仿宋_GB2312"/>
                <w:color w:val="auto"/>
                <w:kern w:val="0"/>
                <w:sz w:val="28"/>
                <w:szCs w:val="28"/>
                <w:highlight w:val="none"/>
                <w:lang w:bidi="ar"/>
              </w:rPr>
            </w:pPr>
            <w:r>
              <w:rPr>
                <w:rFonts w:hint="eastAsia" w:ascii="仿宋_GB2312" w:hAnsi="仿宋_GB2312" w:eastAsia="仿宋_GB2312" w:cs="仿宋_GB2312"/>
                <w:color w:val="auto"/>
                <w:kern w:val="0"/>
                <w:sz w:val="28"/>
                <w:szCs w:val="28"/>
                <w:highlight w:val="none"/>
                <w:lang w:bidi="ar"/>
              </w:rPr>
              <w:t>1</w:t>
            </w:r>
          </w:p>
        </w:tc>
        <w:tc>
          <w:tcPr>
            <w:tcW w:w="8017" w:type="dxa"/>
            <w:noWrap w:val="0"/>
            <w:vAlign w:val="center"/>
          </w:tcPr>
          <w:p>
            <w:pPr>
              <w:widowControl/>
              <w:spacing w:line="320" w:lineRule="exact"/>
              <w:textAlignment w:val="center"/>
              <w:rPr>
                <w:rFonts w:hint="eastAsia" w:ascii="仿宋_GB2312" w:hAnsi="仿宋_GB2312" w:eastAsia="仿宋_GB2312" w:cs="仿宋_GB2312"/>
                <w:color w:val="auto"/>
                <w:kern w:val="0"/>
                <w:sz w:val="28"/>
                <w:szCs w:val="28"/>
                <w:highlight w:val="none"/>
                <w:lang w:bidi="ar"/>
              </w:rPr>
            </w:pPr>
            <w:r>
              <w:rPr>
                <w:rFonts w:ascii="仿宋_GB2312" w:hAnsi="仿宋_GB2312" w:eastAsia="仿宋_GB2312" w:cs="仿宋_GB2312"/>
                <w:color w:val="auto"/>
                <w:kern w:val="0"/>
                <w:sz w:val="28"/>
                <w:szCs w:val="28"/>
                <w:highlight w:val="none"/>
                <w:lang w:bidi="ar"/>
              </w:rPr>
              <w:t>40周岁及以下；</w:t>
            </w:r>
            <w:r>
              <w:rPr>
                <w:rFonts w:hint="eastAsia" w:ascii="仿宋_GB2312" w:hAnsi="仿宋_GB2312" w:eastAsia="仿宋_GB2312" w:cs="仿宋_GB2312"/>
                <w:color w:val="auto"/>
                <w:kern w:val="0"/>
                <w:sz w:val="28"/>
                <w:szCs w:val="28"/>
                <w:highlight w:val="none"/>
                <w:lang w:bidi="ar"/>
              </w:rPr>
              <w:t>全日制</w:t>
            </w:r>
            <w:r>
              <w:rPr>
                <w:rFonts w:ascii="仿宋_GB2312" w:hAnsi="仿宋_GB2312" w:eastAsia="仿宋_GB2312" w:cs="仿宋_GB2312"/>
                <w:color w:val="auto"/>
                <w:kern w:val="0"/>
                <w:sz w:val="28"/>
                <w:szCs w:val="28"/>
                <w:highlight w:val="none"/>
                <w:lang w:bidi="ar"/>
              </w:rPr>
              <w:t>本科以上学历，</w:t>
            </w:r>
            <w:r>
              <w:rPr>
                <w:rFonts w:hint="eastAsia" w:ascii="仿宋_GB2312" w:hAnsi="仿宋_GB2312" w:eastAsia="仿宋_GB2312" w:cs="仿宋_GB2312"/>
                <w:color w:val="auto"/>
                <w:kern w:val="0"/>
                <w:sz w:val="28"/>
                <w:szCs w:val="28"/>
                <w:highlight w:val="none"/>
                <w:lang w:bidi="ar"/>
              </w:rPr>
              <w:t>并具有相应学位；专业：</w:t>
            </w:r>
            <w:r>
              <w:rPr>
                <w:rFonts w:ascii="仿宋_GB2312" w:hAnsi="仿宋_GB2312" w:eastAsia="仿宋_GB2312" w:cs="仿宋_GB2312"/>
                <w:color w:val="auto"/>
                <w:kern w:val="0"/>
                <w:sz w:val="28"/>
                <w:szCs w:val="28"/>
                <w:highlight w:val="none"/>
                <w:lang w:bidi="ar"/>
              </w:rPr>
              <w:t>本科</w:t>
            </w:r>
            <w:r>
              <w:rPr>
                <w:rFonts w:hint="eastAsia" w:ascii="仿宋_GB2312" w:hAnsi="仿宋_GB2312" w:eastAsia="仿宋_GB2312" w:cs="仿宋_GB2312"/>
                <w:color w:val="auto"/>
                <w:kern w:val="0"/>
                <w:sz w:val="28"/>
                <w:szCs w:val="28"/>
                <w:highlight w:val="none"/>
                <w:lang w:bidi="ar"/>
              </w:rPr>
              <w:t>：</w:t>
            </w:r>
            <w:r>
              <w:rPr>
                <w:rFonts w:ascii="仿宋_GB2312" w:hAnsi="仿宋_GB2312" w:eastAsia="仿宋_GB2312" w:cs="仿宋_GB2312"/>
                <w:color w:val="auto"/>
                <w:kern w:val="0"/>
                <w:sz w:val="28"/>
                <w:szCs w:val="28"/>
                <w:highlight w:val="none"/>
                <w:lang w:bidi="ar"/>
              </w:rPr>
              <w:t>法学、知识产权、民商法、法律</w:t>
            </w:r>
            <w:r>
              <w:rPr>
                <w:rFonts w:hint="eastAsia" w:ascii="仿宋_GB2312" w:hAnsi="仿宋_GB2312" w:eastAsia="仿宋_GB2312" w:cs="仿宋_GB2312"/>
                <w:color w:val="auto"/>
                <w:kern w:val="0"/>
                <w:sz w:val="28"/>
                <w:szCs w:val="28"/>
                <w:highlight w:val="none"/>
                <w:lang w:bidi="ar"/>
              </w:rPr>
              <w:t>；</w:t>
            </w:r>
            <w:r>
              <w:rPr>
                <w:rFonts w:ascii="仿宋_GB2312" w:hAnsi="仿宋_GB2312" w:eastAsia="仿宋_GB2312" w:cs="仿宋_GB2312"/>
                <w:color w:val="auto"/>
                <w:kern w:val="0"/>
                <w:sz w:val="28"/>
                <w:szCs w:val="28"/>
                <w:highlight w:val="none"/>
                <w:lang w:bidi="ar"/>
              </w:rPr>
              <w:t>研究生</w:t>
            </w:r>
            <w:r>
              <w:rPr>
                <w:rFonts w:hint="eastAsia" w:ascii="仿宋_GB2312" w:hAnsi="仿宋_GB2312" w:eastAsia="仿宋_GB2312" w:cs="仿宋_GB2312"/>
                <w:color w:val="auto"/>
                <w:kern w:val="0"/>
                <w:sz w:val="28"/>
                <w:szCs w:val="28"/>
                <w:highlight w:val="none"/>
                <w:lang w:bidi="ar"/>
              </w:rPr>
              <w:t>：</w:t>
            </w:r>
            <w:r>
              <w:rPr>
                <w:rFonts w:ascii="仿宋_GB2312" w:hAnsi="仿宋_GB2312" w:eastAsia="仿宋_GB2312" w:cs="仿宋_GB2312"/>
                <w:color w:val="auto"/>
                <w:kern w:val="0"/>
                <w:sz w:val="28"/>
                <w:szCs w:val="28"/>
                <w:highlight w:val="none"/>
                <w:lang w:bidi="ar"/>
              </w:rPr>
              <w:t>法经济学、法学、知识产权、商法、民商法</w:t>
            </w:r>
            <w:r>
              <w:rPr>
                <w:rFonts w:hint="eastAsia" w:ascii="仿宋_GB2312" w:hAnsi="仿宋_GB2312" w:eastAsia="仿宋_GB2312" w:cs="仿宋_GB2312"/>
                <w:color w:val="auto"/>
                <w:kern w:val="0"/>
                <w:sz w:val="28"/>
                <w:szCs w:val="28"/>
                <w:highlight w:val="none"/>
                <w:lang w:bidi="ar"/>
              </w:rPr>
              <w:t>学</w:t>
            </w:r>
            <w:r>
              <w:rPr>
                <w:rFonts w:ascii="仿宋_GB2312" w:hAnsi="仿宋_GB2312" w:eastAsia="仿宋_GB2312" w:cs="仿宋_GB2312"/>
                <w:color w:val="auto"/>
                <w:kern w:val="0"/>
                <w:sz w:val="28"/>
                <w:szCs w:val="28"/>
                <w:highlight w:val="none"/>
                <w:lang w:bidi="ar"/>
              </w:rPr>
              <w:t>、法律</w:t>
            </w:r>
            <w:r>
              <w:rPr>
                <w:rFonts w:hint="eastAsia" w:ascii="仿宋_GB2312" w:hAnsi="仿宋_GB2312" w:eastAsia="仿宋_GB2312" w:cs="仿宋_GB2312"/>
                <w:color w:val="auto"/>
                <w:kern w:val="0"/>
                <w:sz w:val="28"/>
                <w:szCs w:val="28"/>
                <w:highlight w:val="none"/>
                <w:lang w:bidi="ar"/>
              </w:rPr>
              <w:t>；</w:t>
            </w:r>
            <w:r>
              <w:rPr>
                <w:rFonts w:ascii="仿宋_GB2312" w:hAnsi="仿宋_GB2312" w:eastAsia="仿宋_GB2312" w:cs="仿宋_GB2312"/>
                <w:color w:val="auto"/>
                <w:kern w:val="0"/>
                <w:sz w:val="28"/>
                <w:szCs w:val="28"/>
                <w:highlight w:val="none"/>
                <w:lang w:bidi="ar"/>
              </w:rPr>
              <w:t>通过国家统一法律职业资格考试（司法考试）；熟悉民商法、经济法、合同法等相关法律法规；具备合同审核、法律文书起草及纠纷处理能力；工作严谨细致，沟通协调能力强</w:t>
            </w:r>
            <w:r>
              <w:rPr>
                <w:rFonts w:hint="eastAsia" w:ascii="仿宋_GB2312" w:hAnsi="仿宋_GB2312" w:eastAsia="仿宋_GB2312" w:cs="仿宋_GB2312"/>
                <w:color w:val="auto"/>
                <w:kern w:val="0"/>
                <w:sz w:val="28"/>
                <w:szCs w:val="28"/>
                <w:highlight w:val="none"/>
                <w:lang w:bidi="ar"/>
              </w:rPr>
              <w:t>；</w:t>
            </w:r>
            <w:r>
              <w:rPr>
                <w:rFonts w:ascii="仿宋_GB2312" w:hAnsi="仿宋_GB2312" w:eastAsia="仿宋_GB2312" w:cs="仿宋_GB2312"/>
                <w:color w:val="auto"/>
                <w:kern w:val="0"/>
                <w:sz w:val="28"/>
                <w:szCs w:val="28"/>
                <w:highlight w:val="none"/>
                <w:lang w:bidi="ar"/>
              </w:rPr>
              <w:t>具</w:t>
            </w:r>
            <w:r>
              <w:rPr>
                <w:rFonts w:hint="eastAsia" w:ascii="仿宋_GB2312" w:hAnsi="仿宋_GB2312" w:eastAsia="仿宋_GB2312" w:cs="仿宋_GB2312"/>
                <w:color w:val="auto"/>
                <w:kern w:val="0"/>
                <w:sz w:val="28"/>
                <w:szCs w:val="28"/>
                <w:highlight w:val="none"/>
                <w:lang w:bidi="ar"/>
              </w:rPr>
              <w:t>有5年及以上</w:t>
            </w:r>
            <w:r>
              <w:rPr>
                <w:rFonts w:ascii="仿宋_GB2312" w:hAnsi="仿宋_GB2312" w:eastAsia="仿宋_GB2312" w:cs="仿宋_GB2312"/>
                <w:color w:val="auto"/>
                <w:kern w:val="0"/>
                <w:sz w:val="28"/>
                <w:szCs w:val="28"/>
                <w:highlight w:val="none"/>
                <w:lang w:bidi="ar"/>
              </w:rPr>
              <w:t>司法机关、律所或企业法务工作经验。</w:t>
            </w:r>
          </w:p>
        </w:tc>
        <w:tc>
          <w:tcPr>
            <w:tcW w:w="1920" w:type="dxa"/>
            <w:noWrap w:val="0"/>
            <w:vAlign w:val="center"/>
          </w:tcPr>
          <w:p>
            <w:pPr>
              <w:widowControl/>
              <w:spacing w:line="320" w:lineRule="exact"/>
              <w:jc w:val="center"/>
              <w:textAlignment w:val="center"/>
              <w:rPr>
                <w:rFonts w:hint="eastAsia" w:ascii="仿宋_GB2312" w:hAnsi="仿宋_GB2312" w:eastAsia="仿宋_GB2312" w:cs="仿宋_GB2312"/>
                <w:color w:val="auto"/>
                <w:kern w:val="0"/>
                <w:sz w:val="28"/>
                <w:szCs w:val="28"/>
                <w:highlight w:val="none"/>
                <w:lang w:bidi="ar"/>
              </w:rPr>
            </w:pPr>
            <w:r>
              <w:rPr>
                <w:rFonts w:hint="eastAsia" w:ascii="仿宋_GB2312" w:hAnsi="仿宋_GB2312" w:eastAsia="仿宋_GB2312" w:cs="仿宋_GB2312"/>
                <w:color w:val="auto"/>
                <w:kern w:val="0"/>
                <w:sz w:val="28"/>
                <w:szCs w:val="28"/>
                <w:highlight w:val="none"/>
                <w:lang w:bidi="ar"/>
              </w:rPr>
              <w:t>8000-12000元/月，13薪</w:t>
            </w:r>
            <w:r>
              <w:rPr>
                <w:rFonts w:hint="eastAsia" w:ascii="仿宋_GB2312" w:hAnsi="仿宋_GB2312" w:eastAsia="仿宋_GB2312" w:cs="仿宋_GB2312"/>
                <w:color w:val="auto"/>
                <w:sz w:val="28"/>
                <w:szCs w:val="28"/>
                <w:highlight w:val="none"/>
              </w:rPr>
              <w:t>，缴纳社保</w:t>
            </w:r>
          </w:p>
        </w:tc>
        <w:tc>
          <w:tcPr>
            <w:tcW w:w="1341" w:type="dxa"/>
            <w:noWrap w:val="0"/>
            <w:vAlign w:val="center"/>
          </w:tcPr>
          <w:p>
            <w:pPr>
              <w:spacing w:line="320" w:lineRule="exact"/>
              <w:jc w:val="center"/>
              <w:rPr>
                <w:rFonts w:hint="eastAsia" w:ascii="仿宋_GB2312" w:hAnsi="黑体" w:eastAsia="仿宋_GB2312"/>
                <w:color w:val="auto"/>
                <w:sz w:val="28"/>
                <w:szCs w:val="28"/>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10" w:hRule="atLeast"/>
          <w:tblCellSpacing w:w="0" w:type="dxa"/>
          <w:jc w:val="center"/>
        </w:trPr>
        <w:tc>
          <w:tcPr>
            <w:tcW w:w="651" w:type="dxa"/>
            <w:noWrap w:val="0"/>
            <w:vAlign w:val="center"/>
          </w:tcPr>
          <w:p>
            <w:pPr>
              <w:widowControl/>
              <w:spacing w:line="320" w:lineRule="exact"/>
              <w:jc w:val="center"/>
              <w:textAlignment w:val="center"/>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val="en-US" w:eastAsia="zh-CN"/>
              </w:rPr>
              <w:t>5</w:t>
            </w:r>
          </w:p>
        </w:tc>
        <w:tc>
          <w:tcPr>
            <w:tcW w:w="1695" w:type="dxa"/>
            <w:vMerge w:val="continue"/>
            <w:tcBorders/>
            <w:noWrap w:val="0"/>
            <w:vAlign w:val="center"/>
          </w:tcPr>
          <w:p>
            <w:pPr>
              <w:spacing w:line="320" w:lineRule="exact"/>
              <w:jc w:val="center"/>
              <w:rPr>
                <w:rFonts w:ascii="仿宋_GB2312" w:hAnsi="仿宋_GB2312" w:eastAsia="仿宋_GB2312" w:cs="仿宋_GB2312"/>
                <w:bCs/>
                <w:color w:val="auto"/>
                <w:sz w:val="24"/>
                <w:highlight w:val="none"/>
              </w:rPr>
            </w:pPr>
          </w:p>
        </w:tc>
        <w:tc>
          <w:tcPr>
            <w:tcW w:w="1191" w:type="dxa"/>
            <w:noWrap w:val="0"/>
            <w:vAlign w:val="center"/>
          </w:tcPr>
          <w:p>
            <w:pPr>
              <w:widowControl/>
              <w:spacing w:line="320" w:lineRule="exact"/>
              <w:jc w:val="center"/>
              <w:textAlignment w:val="center"/>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color w:val="auto"/>
                <w:kern w:val="0"/>
                <w:sz w:val="28"/>
                <w:szCs w:val="28"/>
                <w:highlight w:val="none"/>
                <w:lang w:bidi="ar"/>
              </w:rPr>
              <w:t>行政辅助</w:t>
            </w:r>
          </w:p>
        </w:tc>
        <w:tc>
          <w:tcPr>
            <w:tcW w:w="767" w:type="dxa"/>
            <w:noWrap w:val="0"/>
            <w:vAlign w:val="center"/>
          </w:tcPr>
          <w:p>
            <w:pPr>
              <w:widowControl/>
              <w:spacing w:line="320" w:lineRule="exact"/>
              <w:jc w:val="center"/>
              <w:textAlignment w:val="center"/>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color w:val="auto"/>
                <w:kern w:val="0"/>
                <w:sz w:val="28"/>
                <w:szCs w:val="28"/>
                <w:highlight w:val="none"/>
                <w:lang w:bidi="ar"/>
              </w:rPr>
              <w:t>1</w:t>
            </w:r>
          </w:p>
        </w:tc>
        <w:tc>
          <w:tcPr>
            <w:tcW w:w="8017" w:type="dxa"/>
            <w:noWrap w:val="0"/>
            <w:vAlign w:val="center"/>
          </w:tcPr>
          <w:p>
            <w:pPr>
              <w:widowControl/>
              <w:spacing w:line="320" w:lineRule="exact"/>
              <w:jc w:val="left"/>
              <w:textAlignment w:val="center"/>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color w:val="auto"/>
                <w:kern w:val="0"/>
                <w:sz w:val="28"/>
                <w:szCs w:val="28"/>
                <w:highlight w:val="none"/>
                <w:lang w:bidi="ar"/>
              </w:rPr>
              <w:t>35周岁及以下；全日制本科及以上学历，并具有相应学位；专业：本科：汉语言文学、汉语言、秘书学、新闻学；研究生：汉语言文字学、高级秘书与行政助理学、新闻学。文字功底扎实，擅长文字创作编辑。</w:t>
            </w:r>
          </w:p>
        </w:tc>
        <w:tc>
          <w:tcPr>
            <w:tcW w:w="1920" w:type="dxa"/>
            <w:noWrap w:val="0"/>
            <w:vAlign w:val="center"/>
          </w:tcPr>
          <w:p>
            <w:pPr>
              <w:widowControl/>
              <w:spacing w:line="320" w:lineRule="exact"/>
              <w:jc w:val="center"/>
              <w:textAlignment w:val="center"/>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color w:val="auto"/>
                <w:kern w:val="0"/>
                <w:sz w:val="28"/>
                <w:szCs w:val="28"/>
                <w:highlight w:val="none"/>
                <w:lang w:bidi="ar"/>
              </w:rPr>
              <w:t>年薪6万左右</w:t>
            </w:r>
            <w:r>
              <w:rPr>
                <w:rFonts w:hint="eastAsia" w:ascii="仿宋_GB2312" w:hAnsi="仿宋_GB2312" w:eastAsia="仿宋_GB2312" w:cs="仿宋_GB2312"/>
                <w:color w:val="auto"/>
                <w:sz w:val="28"/>
                <w:szCs w:val="28"/>
                <w:highlight w:val="none"/>
              </w:rPr>
              <w:t>，缴纳社保</w:t>
            </w:r>
          </w:p>
        </w:tc>
        <w:tc>
          <w:tcPr>
            <w:tcW w:w="1341" w:type="dxa"/>
            <w:noWrap w:val="0"/>
            <w:vAlign w:val="center"/>
          </w:tcPr>
          <w:p>
            <w:pPr>
              <w:spacing w:line="320" w:lineRule="exact"/>
              <w:jc w:val="center"/>
              <w:rPr>
                <w:rFonts w:hint="eastAsia" w:ascii="仿宋_GB2312" w:hAnsi="黑体" w:eastAsia="仿宋_GB2312"/>
                <w:color w:val="auto"/>
                <w:sz w:val="28"/>
                <w:szCs w:val="28"/>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10" w:hRule="atLeast"/>
          <w:tblCellSpacing w:w="0" w:type="dxa"/>
          <w:jc w:val="center"/>
        </w:trPr>
        <w:tc>
          <w:tcPr>
            <w:tcW w:w="651" w:type="dxa"/>
            <w:noWrap w:val="0"/>
            <w:vAlign w:val="center"/>
          </w:tcPr>
          <w:p>
            <w:pPr>
              <w:widowControl/>
              <w:spacing w:line="320" w:lineRule="exact"/>
              <w:jc w:val="center"/>
              <w:textAlignment w:val="center"/>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val="en-US" w:eastAsia="zh-CN"/>
              </w:rPr>
              <w:t>6</w:t>
            </w:r>
          </w:p>
        </w:tc>
        <w:tc>
          <w:tcPr>
            <w:tcW w:w="1695" w:type="dxa"/>
            <w:vMerge w:val="continue"/>
            <w:tcBorders/>
            <w:noWrap w:val="0"/>
            <w:vAlign w:val="center"/>
          </w:tcPr>
          <w:p>
            <w:pPr>
              <w:spacing w:line="320" w:lineRule="exact"/>
              <w:jc w:val="center"/>
              <w:rPr>
                <w:rFonts w:ascii="仿宋_GB2312" w:hAnsi="仿宋_GB2312" w:eastAsia="仿宋_GB2312" w:cs="仿宋_GB2312"/>
                <w:bCs/>
                <w:color w:val="auto"/>
                <w:sz w:val="24"/>
                <w:highlight w:val="none"/>
              </w:rPr>
            </w:pPr>
          </w:p>
        </w:tc>
        <w:tc>
          <w:tcPr>
            <w:tcW w:w="1191" w:type="dxa"/>
            <w:noWrap w:val="0"/>
            <w:vAlign w:val="center"/>
          </w:tcPr>
          <w:p>
            <w:pPr>
              <w:widowControl/>
              <w:spacing w:line="320" w:lineRule="exact"/>
              <w:jc w:val="center"/>
              <w:textAlignment w:val="center"/>
              <w:rPr>
                <w:rFonts w:hint="eastAsia" w:ascii="仿宋_GB2312" w:hAnsi="仿宋_GB2312" w:eastAsia="仿宋_GB2312" w:cs="仿宋_GB2312"/>
                <w:color w:val="auto"/>
                <w:kern w:val="0"/>
                <w:sz w:val="28"/>
                <w:szCs w:val="28"/>
                <w:highlight w:val="none"/>
                <w:lang w:bidi="ar"/>
              </w:rPr>
            </w:pPr>
            <w:r>
              <w:rPr>
                <w:rFonts w:hint="eastAsia" w:ascii="仿宋_GB2312" w:hAnsi="仿宋_GB2312" w:eastAsia="仿宋_GB2312" w:cs="仿宋_GB2312"/>
                <w:color w:val="auto"/>
                <w:kern w:val="0"/>
                <w:sz w:val="28"/>
                <w:szCs w:val="28"/>
                <w:highlight w:val="none"/>
                <w:lang w:bidi="ar"/>
              </w:rPr>
              <w:t>融资辅助</w:t>
            </w:r>
          </w:p>
        </w:tc>
        <w:tc>
          <w:tcPr>
            <w:tcW w:w="767" w:type="dxa"/>
            <w:noWrap w:val="0"/>
            <w:vAlign w:val="center"/>
          </w:tcPr>
          <w:p>
            <w:pPr>
              <w:widowControl/>
              <w:spacing w:line="320" w:lineRule="exact"/>
              <w:jc w:val="center"/>
              <w:textAlignment w:val="center"/>
              <w:rPr>
                <w:rFonts w:hint="eastAsia" w:ascii="仿宋_GB2312" w:hAnsi="仿宋_GB2312" w:eastAsia="仿宋_GB2312" w:cs="仿宋_GB2312"/>
                <w:color w:val="auto"/>
                <w:kern w:val="0"/>
                <w:sz w:val="28"/>
                <w:szCs w:val="28"/>
                <w:highlight w:val="none"/>
                <w:lang w:bidi="ar"/>
              </w:rPr>
            </w:pPr>
            <w:r>
              <w:rPr>
                <w:rFonts w:hint="eastAsia" w:ascii="仿宋_GB2312" w:hAnsi="仿宋_GB2312" w:eastAsia="仿宋_GB2312" w:cs="仿宋_GB2312"/>
                <w:color w:val="auto"/>
                <w:kern w:val="0"/>
                <w:sz w:val="28"/>
                <w:szCs w:val="28"/>
                <w:highlight w:val="none"/>
                <w:lang w:bidi="ar"/>
              </w:rPr>
              <w:t>1</w:t>
            </w:r>
          </w:p>
        </w:tc>
        <w:tc>
          <w:tcPr>
            <w:tcW w:w="8017" w:type="dxa"/>
            <w:noWrap w:val="0"/>
            <w:vAlign w:val="center"/>
          </w:tcPr>
          <w:p>
            <w:pPr>
              <w:widowControl/>
              <w:spacing w:line="320" w:lineRule="exact"/>
              <w:textAlignment w:val="center"/>
              <w:rPr>
                <w:rFonts w:hint="eastAsia" w:ascii="仿宋_GB2312" w:hAnsi="仿宋_GB2312" w:eastAsia="仿宋_GB2312" w:cs="仿宋_GB2312"/>
                <w:color w:val="auto"/>
                <w:kern w:val="0"/>
                <w:sz w:val="28"/>
                <w:szCs w:val="28"/>
                <w:highlight w:val="none"/>
                <w:lang w:bidi="ar"/>
              </w:rPr>
            </w:pPr>
            <w:r>
              <w:rPr>
                <w:rFonts w:hint="eastAsia" w:ascii="仿宋_GB2312" w:hAnsi="仿宋_GB2312" w:eastAsia="仿宋_GB2312" w:cs="仿宋_GB2312"/>
                <w:color w:val="auto"/>
                <w:kern w:val="0"/>
                <w:sz w:val="28"/>
                <w:szCs w:val="28"/>
                <w:highlight w:val="none"/>
                <w:lang w:bidi="ar"/>
              </w:rPr>
              <w:t>35周岁及以下；全日制本科及以上学历，并具有相应学位；专业：本科：金融、金融学、会计、会计学；研究生：金融、金融学、会计、会计学；具有2年及以上融资或财务工作经验。</w:t>
            </w:r>
          </w:p>
        </w:tc>
        <w:tc>
          <w:tcPr>
            <w:tcW w:w="1920" w:type="dxa"/>
            <w:noWrap w:val="0"/>
            <w:vAlign w:val="center"/>
          </w:tcPr>
          <w:p>
            <w:pPr>
              <w:spacing w:line="320" w:lineRule="exact"/>
              <w:jc w:val="center"/>
              <w:rPr>
                <w:rFonts w:hint="eastAsia" w:ascii="仿宋_GB2312" w:hAnsi="仿宋_GB2312" w:eastAsia="仿宋_GB2312" w:cs="仿宋_GB2312"/>
                <w:color w:val="auto"/>
                <w:kern w:val="0"/>
                <w:sz w:val="28"/>
                <w:szCs w:val="28"/>
                <w:highlight w:val="none"/>
                <w:lang w:bidi="ar"/>
              </w:rPr>
            </w:pPr>
            <w:r>
              <w:rPr>
                <w:rFonts w:hint="eastAsia" w:ascii="仿宋_GB2312" w:hAnsi="仿宋_GB2312" w:eastAsia="仿宋_GB2312" w:cs="仿宋_GB2312"/>
                <w:color w:val="auto"/>
                <w:sz w:val="28"/>
                <w:szCs w:val="28"/>
                <w:highlight w:val="none"/>
              </w:rPr>
              <w:t>6000-8000元/月，13薪，缴纳社保</w:t>
            </w:r>
          </w:p>
        </w:tc>
        <w:tc>
          <w:tcPr>
            <w:tcW w:w="1341" w:type="dxa"/>
            <w:noWrap w:val="0"/>
            <w:vAlign w:val="center"/>
          </w:tcPr>
          <w:p>
            <w:pPr>
              <w:spacing w:line="320" w:lineRule="exact"/>
              <w:jc w:val="center"/>
              <w:rPr>
                <w:rFonts w:hint="eastAsia" w:ascii="仿宋_GB2312" w:hAnsi="黑体" w:eastAsia="仿宋_GB2312"/>
                <w:color w:val="auto"/>
                <w:sz w:val="28"/>
                <w:szCs w:val="28"/>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00" w:hRule="atLeast"/>
          <w:tblCellSpacing w:w="0" w:type="dxa"/>
          <w:jc w:val="center"/>
        </w:trPr>
        <w:tc>
          <w:tcPr>
            <w:tcW w:w="651" w:type="dxa"/>
            <w:noWrap w:val="0"/>
            <w:vAlign w:val="center"/>
          </w:tcPr>
          <w:p>
            <w:pPr>
              <w:widowControl/>
              <w:spacing w:line="320" w:lineRule="exact"/>
              <w:jc w:val="center"/>
              <w:textAlignment w:val="center"/>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val="en-US" w:eastAsia="zh-CN"/>
              </w:rPr>
              <w:t>7</w:t>
            </w:r>
          </w:p>
        </w:tc>
        <w:tc>
          <w:tcPr>
            <w:tcW w:w="1695" w:type="dxa"/>
            <w:noWrap w:val="0"/>
            <w:vAlign w:val="center"/>
          </w:tcPr>
          <w:p>
            <w:pPr>
              <w:spacing w:line="320" w:lineRule="exact"/>
              <w:jc w:val="center"/>
              <w:rPr>
                <w:rFonts w:hint="eastAsia" w:ascii="仿宋_GB2312" w:hAnsi="仿宋_GB2312" w:eastAsia="仿宋_GB2312" w:cs="仿宋_GB2312"/>
                <w:bCs/>
                <w:color w:val="auto"/>
                <w:sz w:val="24"/>
                <w:highlight w:val="none"/>
              </w:rPr>
            </w:pPr>
            <w:r>
              <w:rPr>
                <w:rFonts w:hint="eastAsia" w:ascii="仿宋_GB2312" w:hAnsi="黑体" w:eastAsia="仿宋_GB2312"/>
                <w:color w:val="auto"/>
                <w:sz w:val="28"/>
                <w:szCs w:val="28"/>
                <w:highlight w:val="none"/>
              </w:rPr>
              <w:t>绍兴市城北房地产开发有限公司</w:t>
            </w:r>
          </w:p>
          <w:p>
            <w:pPr>
              <w:spacing w:line="320" w:lineRule="exact"/>
              <w:jc w:val="center"/>
              <w:rPr>
                <w:rFonts w:hint="eastAsia" w:ascii="仿宋_GB2312" w:hAnsi="仿宋_GB2312" w:eastAsia="仿宋_GB2312" w:cs="仿宋_GB2312"/>
                <w:bCs/>
                <w:color w:val="auto"/>
                <w:sz w:val="24"/>
                <w:highlight w:val="none"/>
              </w:rPr>
            </w:pPr>
          </w:p>
        </w:tc>
        <w:tc>
          <w:tcPr>
            <w:tcW w:w="1191" w:type="dxa"/>
            <w:noWrap w:val="0"/>
            <w:vAlign w:val="center"/>
          </w:tcPr>
          <w:p>
            <w:pPr>
              <w:spacing w:line="320" w:lineRule="exact"/>
              <w:jc w:val="center"/>
              <w:rPr>
                <w:rFonts w:hint="eastAsia" w:ascii="仿宋_GB2312" w:hAnsi="黑体" w:eastAsia="仿宋_GB2312"/>
                <w:color w:val="auto"/>
                <w:sz w:val="28"/>
                <w:szCs w:val="28"/>
                <w:highlight w:val="none"/>
              </w:rPr>
            </w:pPr>
            <w:r>
              <w:rPr>
                <w:rFonts w:hint="eastAsia" w:ascii="仿宋_GB2312" w:hAnsi="黑体" w:eastAsia="仿宋_GB2312"/>
                <w:color w:val="auto"/>
                <w:sz w:val="28"/>
                <w:szCs w:val="28"/>
                <w:highlight w:val="none"/>
              </w:rPr>
              <w:t>TOD招商专员</w:t>
            </w:r>
          </w:p>
        </w:tc>
        <w:tc>
          <w:tcPr>
            <w:tcW w:w="767" w:type="dxa"/>
            <w:noWrap w:val="0"/>
            <w:vAlign w:val="center"/>
          </w:tcPr>
          <w:p>
            <w:pPr>
              <w:spacing w:line="320" w:lineRule="exact"/>
              <w:jc w:val="center"/>
              <w:rPr>
                <w:rFonts w:hint="eastAsia" w:ascii="仿宋_GB2312" w:hAnsi="黑体" w:eastAsia="仿宋_GB2312"/>
                <w:color w:val="auto"/>
                <w:sz w:val="28"/>
                <w:szCs w:val="28"/>
                <w:highlight w:val="none"/>
              </w:rPr>
            </w:pPr>
            <w:r>
              <w:rPr>
                <w:rFonts w:hint="eastAsia" w:ascii="仿宋_GB2312" w:hAnsi="黑体" w:eastAsia="仿宋_GB2312"/>
                <w:color w:val="auto"/>
                <w:sz w:val="28"/>
                <w:szCs w:val="28"/>
                <w:highlight w:val="none"/>
              </w:rPr>
              <w:t>4</w:t>
            </w:r>
          </w:p>
        </w:tc>
        <w:tc>
          <w:tcPr>
            <w:tcW w:w="8017" w:type="dxa"/>
            <w:noWrap w:val="0"/>
            <w:vAlign w:val="center"/>
          </w:tcPr>
          <w:p>
            <w:pPr>
              <w:spacing w:line="320" w:lineRule="exact"/>
              <w:jc w:val="left"/>
              <w:rPr>
                <w:rFonts w:hint="eastAsia" w:ascii="仿宋_GB2312" w:hAnsi="黑体" w:eastAsia="仿宋_GB2312"/>
                <w:color w:val="auto"/>
                <w:sz w:val="28"/>
                <w:szCs w:val="28"/>
                <w:highlight w:val="none"/>
              </w:rPr>
            </w:pPr>
            <w:r>
              <w:rPr>
                <w:rFonts w:hint="eastAsia" w:ascii="仿宋_GB2312" w:hAnsi="黑体" w:eastAsia="仿宋_GB2312"/>
                <w:color w:val="auto"/>
                <w:sz w:val="28"/>
                <w:szCs w:val="28"/>
                <w:highlight w:val="none"/>
              </w:rPr>
              <w:t>35周岁及以下；全日制本科及以上学历，并具有相应学位；专业：本科：市场营销、工商管理；研究生：市场营销、工商管理；具备2年以上商业招商、销售或客户服务经验；了解商业招商基本流程和操作方法，熟悉客户开发、谈判、签约，能独立完成招商环节工作。</w:t>
            </w:r>
          </w:p>
        </w:tc>
        <w:tc>
          <w:tcPr>
            <w:tcW w:w="1920" w:type="dxa"/>
            <w:noWrap w:val="0"/>
            <w:vAlign w:val="center"/>
          </w:tcPr>
          <w:p>
            <w:pPr>
              <w:spacing w:line="320" w:lineRule="exact"/>
              <w:jc w:val="center"/>
              <w:rPr>
                <w:rFonts w:hint="eastAsia" w:ascii="仿宋_GB2312" w:hAnsi="黑体" w:eastAsia="仿宋_GB2312"/>
                <w:color w:val="auto"/>
                <w:sz w:val="28"/>
                <w:szCs w:val="28"/>
                <w:highlight w:val="none"/>
              </w:rPr>
            </w:pPr>
            <w:r>
              <w:rPr>
                <w:rFonts w:hint="eastAsia" w:ascii="仿宋_GB2312" w:hAnsi="黑体" w:eastAsia="仿宋_GB2312"/>
                <w:color w:val="auto"/>
                <w:sz w:val="28"/>
                <w:szCs w:val="28"/>
                <w:highlight w:val="none"/>
              </w:rPr>
              <w:t>6000-8000元/月，13薪</w:t>
            </w:r>
            <w:r>
              <w:rPr>
                <w:rFonts w:hint="eastAsia" w:ascii="仿宋_GB2312" w:hAnsi="仿宋_GB2312" w:eastAsia="仿宋_GB2312" w:cs="仿宋_GB2312"/>
                <w:color w:val="auto"/>
                <w:sz w:val="28"/>
                <w:szCs w:val="28"/>
                <w:highlight w:val="none"/>
              </w:rPr>
              <w:t>，缴纳社保</w:t>
            </w:r>
          </w:p>
        </w:tc>
        <w:tc>
          <w:tcPr>
            <w:tcW w:w="1341" w:type="dxa"/>
            <w:noWrap w:val="0"/>
            <w:vAlign w:val="center"/>
          </w:tcPr>
          <w:p>
            <w:pPr>
              <w:spacing w:line="320" w:lineRule="exact"/>
              <w:jc w:val="center"/>
              <w:rPr>
                <w:rFonts w:hint="eastAsia" w:ascii="仿宋_GB2312" w:hAnsi="仿宋_GB2312" w:eastAsia="仿宋_GB2312" w:cs="仿宋_GB2312"/>
                <w:bCs/>
                <w:color w:val="auto"/>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95" w:hRule="atLeast"/>
          <w:tblCellSpacing w:w="0" w:type="dxa"/>
          <w:jc w:val="center"/>
        </w:trPr>
        <w:tc>
          <w:tcPr>
            <w:tcW w:w="651" w:type="dxa"/>
            <w:noWrap w:val="0"/>
            <w:vAlign w:val="center"/>
          </w:tcPr>
          <w:p>
            <w:pPr>
              <w:widowControl/>
              <w:spacing w:line="320" w:lineRule="exact"/>
              <w:jc w:val="center"/>
              <w:textAlignment w:val="center"/>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val="en-US" w:eastAsia="zh-CN"/>
              </w:rPr>
              <w:t>8</w:t>
            </w:r>
          </w:p>
        </w:tc>
        <w:tc>
          <w:tcPr>
            <w:tcW w:w="1695" w:type="dxa"/>
            <w:vMerge w:val="restart"/>
            <w:noWrap w:val="0"/>
            <w:vAlign w:val="center"/>
          </w:tcPr>
          <w:p>
            <w:pPr>
              <w:widowControl/>
              <w:spacing w:line="320" w:lineRule="exact"/>
              <w:jc w:val="center"/>
              <w:textAlignment w:val="center"/>
              <w:rPr>
                <w:rFonts w:hint="eastAsia" w:ascii="仿宋_GB2312" w:hAnsi="仿宋_GB2312" w:eastAsia="仿宋_GB2312" w:cs="仿宋_GB2312"/>
                <w:color w:val="auto"/>
                <w:kern w:val="0"/>
                <w:sz w:val="28"/>
                <w:szCs w:val="28"/>
                <w:highlight w:val="none"/>
                <w:lang w:bidi="ar"/>
              </w:rPr>
            </w:pPr>
            <w:r>
              <w:rPr>
                <w:rFonts w:hint="eastAsia" w:ascii="仿宋_GB2312" w:hAnsi="仿宋_GB2312" w:eastAsia="仿宋_GB2312" w:cs="仿宋_GB2312"/>
                <w:color w:val="auto"/>
                <w:kern w:val="0"/>
                <w:sz w:val="28"/>
                <w:szCs w:val="28"/>
                <w:highlight w:val="none"/>
                <w:lang w:bidi="ar"/>
              </w:rPr>
              <w:t>绍兴市城北物业经营管理有限公司</w:t>
            </w:r>
          </w:p>
          <w:p>
            <w:pPr>
              <w:widowControl/>
              <w:spacing w:line="320" w:lineRule="exact"/>
              <w:jc w:val="center"/>
              <w:textAlignment w:val="center"/>
              <w:rPr>
                <w:rFonts w:hint="eastAsia" w:ascii="仿宋_GB2312" w:hAnsi="仿宋_GB2312" w:eastAsia="仿宋_GB2312" w:cs="仿宋_GB2312"/>
                <w:bCs/>
                <w:color w:val="auto"/>
                <w:sz w:val="24"/>
                <w:highlight w:val="none"/>
              </w:rPr>
            </w:pPr>
          </w:p>
        </w:tc>
        <w:tc>
          <w:tcPr>
            <w:tcW w:w="1191" w:type="dxa"/>
            <w:noWrap w:val="0"/>
            <w:vAlign w:val="center"/>
          </w:tcPr>
          <w:p>
            <w:pPr>
              <w:widowControl/>
              <w:spacing w:line="320" w:lineRule="exact"/>
              <w:jc w:val="center"/>
              <w:textAlignment w:val="center"/>
              <w:rPr>
                <w:rFonts w:hint="eastAsia" w:ascii="仿宋_GB2312" w:hAnsi="仿宋_GB2312" w:eastAsia="仿宋_GB2312" w:cs="仿宋_GB2312"/>
                <w:bCs/>
                <w:color w:val="auto"/>
                <w:kern w:val="0"/>
                <w:sz w:val="24"/>
                <w:highlight w:val="none"/>
                <w:lang w:bidi="ar"/>
              </w:rPr>
            </w:pPr>
            <w:r>
              <w:rPr>
                <w:rFonts w:hint="eastAsia" w:ascii="仿宋_GB2312" w:hAnsi="仿宋_GB2312" w:eastAsia="仿宋_GB2312" w:cs="仿宋_GB2312"/>
                <w:color w:val="auto"/>
                <w:kern w:val="0"/>
                <w:sz w:val="28"/>
                <w:szCs w:val="28"/>
                <w:highlight w:val="none"/>
                <w:lang w:bidi="ar"/>
              </w:rPr>
              <w:t>物业经理</w:t>
            </w:r>
          </w:p>
        </w:tc>
        <w:tc>
          <w:tcPr>
            <w:tcW w:w="767" w:type="dxa"/>
            <w:noWrap w:val="0"/>
            <w:vAlign w:val="center"/>
          </w:tcPr>
          <w:p>
            <w:pPr>
              <w:widowControl/>
              <w:spacing w:line="320" w:lineRule="exact"/>
              <w:jc w:val="center"/>
              <w:textAlignment w:val="center"/>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color w:val="auto"/>
                <w:kern w:val="0"/>
                <w:sz w:val="28"/>
                <w:szCs w:val="28"/>
                <w:highlight w:val="none"/>
                <w:lang w:bidi="ar"/>
              </w:rPr>
              <w:t>1</w:t>
            </w:r>
          </w:p>
        </w:tc>
        <w:tc>
          <w:tcPr>
            <w:tcW w:w="8017" w:type="dxa"/>
            <w:noWrap w:val="0"/>
            <w:vAlign w:val="center"/>
          </w:tcPr>
          <w:p>
            <w:pPr>
              <w:widowControl/>
              <w:spacing w:line="320" w:lineRule="exact"/>
              <w:textAlignment w:val="center"/>
              <w:rPr>
                <w:rFonts w:hint="eastAsia" w:ascii="仿宋_GB2312" w:hAnsi="仿宋_GB2312" w:eastAsia="仿宋_GB2312" w:cs="仿宋_GB2312"/>
                <w:bCs/>
                <w:color w:val="auto"/>
                <w:kern w:val="0"/>
                <w:sz w:val="24"/>
                <w:highlight w:val="none"/>
                <w:lang w:bidi="ar"/>
              </w:rPr>
            </w:pPr>
            <w:bookmarkStart w:id="0" w:name="OLE_LINK15"/>
            <w:bookmarkStart w:id="1" w:name="OLE_LINK14"/>
            <w:r>
              <w:rPr>
                <w:rFonts w:hint="eastAsia" w:ascii="仿宋_GB2312" w:hAnsi="仿宋_GB2312" w:eastAsia="仿宋_GB2312" w:cs="仿宋_GB2312"/>
                <w:color w:val="auto"/>
                <w:sz w:val="28"/>
                <w:szCs w:val="28"/>
                <w:highlight w:val="none"/>
              </w:rPr>
              <w:t xml:space="preserve">35周岁及以下的，需具有全日制本科及以上学历并具有相应学位； </w:t>
            </w:r>
            <w:r>
              <w:rPr>
                <w:rFonts w:hint="eastAsia" w:ascii="仿宋_GB2312" w:hAnsi="仿宋_GB2312" w:eastAsia="仿宋_GB2312" w:cs="仿宋_GB2312"/>
                <w:color w:val="auto"/>
                <w:spacing w:val="-11"/>
                <w:sz w:val="28"/>
                <w:szCs w:val="28"/>
                <w:highlight w:val="none"/>
              </w:rPr>
              <w:t>35周岁以上</w:t>
            </w:r>
            <w:r>
              <w:rPr>
                <w:rFonts w:hint="eastAsia" w:ascii="仿宋_GB2312" w:hAnsi="仿宋_GB2312" w:eastAsia="仿宋_GB2312" w:cs="仿宋_GB2312"/>
                <w:color w:val="auto"/>
                <w:spacing w:val="-11"/>
                <w:sz w:val="28"/>
                <w:szCs w:val="28"/>
                <w:highlight w:val="none"/>
                <w:lang w:val="en-US" w:eastAsia="zh-CN"/>
              </w:rPr>
              <w:t>、</w:t>
            </w:r>
            <w:r>
              <w:rPr>
                <w:rFonts w:hint="eastAsia" w:ascii="仿宋_GB2312" w:hAnsi="仿宋_GB2312" w:eastAsia="仿宋_GB2312" w:cs="仿宋_GB2312"/>
                <w:color w:val="auto"/>
                <w:spacing w:val="-11"/>
                <w:sz w:val="28"/>
                <w:szCs w:val="28"/>
                <w:highlight w:val="none"/>
              </w:rPr>
              <w:t>40周岁</w:t>
            </w:r>
            <w:r>
              <w:rPr>
                <w:rFonts w:hint="eastAsia" w:ascii="仿宋_GB2312" w:hAnsi="仿宋_GB2312" w:eastAsia="仿宋_GB2312" w:cs="仿宋_GB2312"/>
                <w:color w:val="auto"/>
                <w:spacing w:val="-11"/>
                <w:sz w:val="28"/>
                <w:szCs w:val="28"/>
                <w:highlight w:val="none"/>
                <w:lang w:eastAsia="zh-CN"/>
              </w:rPr>
              <w:t>及以下</w:t>
            </w:r>
            <w:r>
              <w:rPr>
                <w:rFonts w:hint="eastAsia" w:ascii="仿宋_GB2312" w:hAnsi="仿宋_GB2312" w:eastAsia="仿宋_GB2312" w:cs="仿宋_GB2312"/>
                <w:color w:val="auto"/>
                <w:spacing w:val="-11"/>
                <w:sz w:val="28"/>
                <w:szCs w:val="28"/>
                <w:highlight w:val="none"/>
              </w:rPr>
              <w:t>的，</w:t>
            </w:r>
            <w:r>
              <w:rPr>
                <w:rFonts w:hint="eastAsia" w:ascii="仿宋_GB2312" w:hAnsi="仿宋_GB2312" w:eastAsia="仿宋_GB2312" w:cs="仿宋_GB2312"/>
                <w:color w:val="auto"/>
                <w:sz w:val="28"/>
                <w:szCs w:val="28"/>
                <w:highlight w:val="none"/>
              </w:rPr>
              <w:t>需具有全日制大专及以上学历（其中全日制本科及以上学历的，需具有相应学位）</w:t>
            </w:r>
            <w:bookmarkEnd w:id="0"/>
            <w:bookmarkEnd w:id="1"/>
            <w:r>
              <w:rPr>
                <w:rFonts w:hint="eastAsia" w:ascii="仿宋_GB2312" w:hAnsi="仿宋_GB2312" w:eastAsia="仿宋_GB2312" w:cs="仿宋_GB2312"/>
                <w:color w:val="auto"/>
                <w:kern w:val="0"/>
                <w:sz w:val="28"/>
                <w:szCs w:val="28"/>
                <w:highlight w:val="none"/>
                <w:lang w:bidi="ar"/>
              </w:rPr>
              <w:t>；专业不限；具有5年及以上物业经理工作经历；持物业经理上岗证书；持有特种设备管理员证或消控证或低压电工证书的或有大型交通枢纽管理经验的优先考虑。</w:t>
            </w:r>
          </w:p>
        </w:tc>
        <w:tc>
          <w:tcPr>
            <w:tcW w:w="1920" w:type="dxa"/>
            <w:noWrap w:val="0"/>
            <w:vAlign w:val="center"/>
          </w:tcPr>
          <w:p>
            <w:pPr>
              <w:spacing w:line="320" w:lineRule="exact"/>
              <w:jc w:val="center"/>
              <w:rPr>
                <w:rFonts w:hint="eastAsia" w:ascii="仿宋_GB2312" w:hAnsi="仿宋_GB2312" w:eastAsia="仿宋_GB2312" w:cs="仿宋_GB2312"/>
                <w:bCs/>
                <w:color w:val="auto"/>
                <w:kern w:val="0"/>
                <w:sz w:val="24"/>
                <w:highlight w:val="none"/>
                <w:lang w:bidi="ar"/>
              </w:rPr>
            </w:pPr>
            <w:r>
              <w:rPr>
                <w:rFonts w:hint="eastAsia" w:ascii="仿宋_GB2312" w:hAnsi="仿宋_GB2312" w:eastAsia="仿宋_GB2312" w:cs="仿宋_GB2312"/>
                <w:color w:val="auto"/>
                <w:sz w:val="30"/>
                <w:szCs w:val="30"/>
                <w:highlight w:val="none"/>
              </w:rPr>
              <w:t>8</w:t>
            </w:r>
            <w:r>
              <w:rPr>
                <w:rFonts w:hint="eastAsia" w:ascii="仿宋_GB2312" w:hAnsi="仿宋_GB2312" w:eastAsia="仿宋_GB2312" w:cs="仿宋_GB2312"/>
                <w:color w:val="auto"/>
                <w:sz w:val="28"/>
                <w:szCs w:val="28"/>
                <w:highlight w:val="none"/>
              </w:rPr>
              <w:t>000-12000元/月，13薪，缴纳社保</w:t>
            </w:r>
          </w:p>
        </w:tc>
        <w:tc>
          <w:tcPr>
            <w:tcW w:w="1341" w:type="dxa"/>
            <w:noWrap w:val="0"/>
            <w:vAlign w:val="center"/>
          </w:tcPr>
          <w:p>
            <w:pPr>
              <w:spacing w:line="320" w:lineRule="exact"/>
              <w:jc w:val="center"/>
              <w:rPr>
                <w:rFonts w:hint="eastAsia" w:ascii="仿宋_GB2312" w:hAnsi="仿宋_GB2312" w:eastAsia="仿宋_GB2312" w:cs="仿宋_GB2312"/>
                <w:bCs/>
                <w:color w:val="auto"/>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45" w:hRule="atLeast"/>
          <w:tblCellSpacing w:w="0" w:type="dxa"/>
          <w:jc w:val="center"/>
        </w:trPr>
        <w:tc>
          <w:tcPr>
            <w:tcW w:w="651" w:type="dxa"/>
            <w:noWrap w:val="0"/>
            <w:vAlign w:val="center"/>
          </w:tcPr>
          <w:p>
            <w:pPr>
              <w:widowControl/>
              <w:spacing w:line="320" w:lineRule="exact"/>
              <w:jc w:val="center"/>
              <w:textAlignment w:val="center"/>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val="en-US" w:eastAsia="zh-CN"/>
              </w:rPr>
              <w:t>9</w:t>
            </w:r>
          </w:p>
        </w:tc>
        <w:tc>
          <w:tcPr>
            <w:tcW w:w="1695" w:type="dxa"/>
            <w:vMerge w:val="continue"/>
            <w:noWrap w:val="0"/>
            <w:vAlign w:val="center"/>
          </w:tcPr>
          <w:p>
            <w:pPr>
              <w:widowControl/>
              <w:spacing w:line="320" w:lineRule="exact"/>
              <w:jc w:val="center"/>
              <w:textAlignment w:val="center"/>
              <w:rPr>
                <w:rFonts w:hint="eastAsia" w:ascii="仿宋_GB2312" w:hAnsi="仿宋_GB2312" w:eastAsia="仿宋_GB2312" w:cs="仿宋_GB2312"/>
                <w:bCs/>
                <w:color w:val="auto"/>
                <w:sz w:val="24"/>
                <w:highlight w:val="none"/>
              </w:rPr>
            </w:pPr>
          </w:p>
        </w:tc>
        <w:tc>
          <w:tcPr>
            <w:tcW w:w="1191" w:type="dxa"/>
            <w:noWrap w:val="0"/>
            <w:vAlign w:val="center"/>
          </w:tcPr>
          <w:p>
            <w:pPr>
              <w:widowControl/>
              <w:spacing w:line="320" w:lineRule="exact"/>
              <w:jc w:val="center"/>
              <w:textAlignment w:val="center"/>
              <w:rPr>
                <w:rFonts w:ascii="仿宋_GB2312" w:hAnsi="仿宋_GB2312" w:eastAsia="仿宋_GB2312" w:cs="仿宋_GB2312"/>
                <w:color w:val="auto"/>
                <w:kern w:val="0"/>
                <w:sz w:val="28"/>
                <w:szCs w:val="28"/>
                <w:highlight w:val="none"/>
                <w:lang w:bidi="ar"/>
              </w:rPr>
            </w:pPr>
            <w:r>
              <w:rPr>
                <w:rFonts w:hint="eastAsia" w:ascii="仿宋_GB2312" w:hAnsi="仿宋_GB2312" w:eastAsia="仿宋_GB2312" w:cs="仿宋_GB2312"/>
                <w:color w:val="auto"/>
                <w:kern w:val="0"/>
                <w:sz w:val="28"/>
                <w:szCs w:val="28"/>
                <w:highlight w:val="none"/>
                <w:lang w:bidi="ar"/>
              </w:rPr>
              <w:t>工程主管</w:t>
            </w:r>
          </w:p>
        </w:tc>
        <w:tc>
          <w:tcPr>
            <w:tcW w:w="767" w:type="dxa"/>
            <w:noWrap w:val="0"/>
            <w:vAlign w:val="center"/>
          </w:tcPr>
          <w:p>
            <w:pPr>
              <w:widowControl/>
              <w:spacing w:line="320" w:lineRule="exact"/>
              <w:jc w:val="center"/>
              <w:textAlignment w:val="center"/>
              <w:rPr>
                <w:rFonts w:hint="eastAsia" w:ascii="仿宋_GB2312" w:hAnsi="仿宋_GB2312" w:eastAsia="仿宋_GB2312" w:cs="仿宋_GB2312"/>
                <w:color w:val="auto"/>
                <w:kern w:val="0"/>
                <w:sz w:val="28"/>
                <w:szCs w:val="28"/>
                <w:highlight w:val="none"/>
                <w:lang w:bidi="ar"/>
              </w:rPr>
            </w:pPr>
            <w:r>
              <w:rPr>
                <w:rFonts w:hint="eastAsia" w:ascii="仿宋_GB2312" w:hAnsi="仿宋_GB2312" w:eastAsia="仿宋_GB2312" w:cs="仿宋_GB2312"/>
                <w:color w:val="auto"/>
                <w:kern w:val="0"/>
                <w:sz w:val="28"/>
                <w:szCs w:val="28"/>
                <w:highlight w:val="none"/>
                <w:lang w:bidi="ar"/>
              </w:rPr>
              <w:t>1</w:t>
            </w:r>
          </w:p>
        </w:tc>
        <w:tc>
          <w:tcPr>
            <w:tcW w:w="8017" w:type="dxa"/>
            <w:noWrap w:val="0"/>
            <w:vAlign w:val="center"/>
          </w:tcPr>
          <w:p>
            <w:pPr>
              <w:widowControl/>
              <w:spacing w:line="320" w:lineRule="exact"/>
              <w:textAlignment w:val="center"/>
              <w:rPr>
                <w:rFonts w:hint="eastAsia" w:ascii="仿宋_GB2312" w:hAnsi="仿宋_GB2312" w:eastAsia="仿宋_GB2312" w:cs="仿宋_GB2312"/>
                <w:color w:val="auto"/>
                <w:kern w:val="0"/>
                <w:sz w:val="28"/>
                <w:szCs w:val="28"/>
                <w:highlight w:val="none"/>
                <w:lang w:bidi="ar"/>
              </w:rPr>
            </w:pPr>
            <w:r>
              <w:rPr>
                <w:rFonts w:hint="eastAsia" w:ascii="仿宋_GB2312" w:hAnsi="仿宋_GB2312" w:eastAsia="仿宋_GB2312" w:cs="仿宋_GB2312"/>
                <w:color w:val="auto"/>
                <w:sz w:val="28"/>
                <w:szCs w:val="28"/>
                <w:highlight w:val="none"/>
              </w:rPr>
              <w:t xml:space="preserve">35周岁及以下的，需具有全日制本科及以上学历并具有相应学位； </w:t>
            </w:r>
            <w:r>
              <w:rPr>
                <w:rFonts w:hint="eastAsia" w:ascii="仿宋_GB2312" w:hAnsi="仿宋_GB2312" w:eastAsia="仿宋_GB2312" w:cs="仿宋_GB2312"/>
                <w:color w:val="auto"/>
                <w:spacing w:val="-11"/>
                <w:sz w:val="28"/>
                <w:szCs w:val="28"/>
                <w:highlight w:val="none"/>
              </w:rPr>
              <w:t>35周岁以上</w:t>
            </w:r>
            <w:r>
              <w:rPr>
                <w:rFonts w:hint="eastAsia" w:ascii="仿宋_GB2312" w:hAnsi="仿宋_GB2312" w:eastAsia="仿宋_GB2312" w:cs="仿宋_GB2312"/>
                <w:color w:val="auto"/>
                <w:spacing w:val="-11"/>
                <w:sz w:val="28"/>
                <w:szCs w:val="28"/>
                <w:highlight w:val="none"/>
                <w:lang w:val="en-US" w:eastAsia="zh-CN"/>
              </w:rPr>
              <w:t>、</w:t>
            </w:r>
            <w:r>
              <w:rPr>
                <w:rFonts w:hint="eastAsia" w:ascii="仿宋_GB2312" w:hAnsi="仿宋_GB2312" w:eastAsia="仿宋_GB2312" w:cs="仿宋_GB2312"/>
                <w:color w:val="auto"/>
                <w:spacing w:val="-11"/>
                <w:sz w:val="28"/>
                <w:szCs w:val="28"/>
                <w:highlight w:val="none"/>
              </w:rPr>
              <w:t>40周岁</w:t>
            </w:r>
            <w:r>
              <w:rPr>
                <w:rFonts w:hint="eastAsia" w:ascii="仿宋_GB2312" w:hAnsi="仿宋_GB2312" w:eastAsia="仿宋_GB2312" w:cs="仿宋_GB2312"/>
                <w:color w:val="auto"/>
                <w:spacing w:val="-11"/>
                <w:sz w:val="28"/>
                <w:szCs w:val="28"/>
                <w:highlight w:val="none"/>
                <w:lang w:eastAsia="zh-CN"/>
              </w:rPr>
              <w:t>及以下</w:t>
            </w:r>
            <w:r>
              <w:rPr>
                <w:rFonts w:hint="eastAsia" w:ascii="仿宋_GB2312" w:hAnsi="仿宋_GB2312" w:eastAsia="仿宋_GB2312" w:cs="仿宋_GB2312"/>
                <w:color w:val="auto"/>
                <w:spacing w:val="-11"/>
                <w:sz w:val="28"/>
                <w:szCs w:val="28"/>
                <w:highlight w:val="none"/>
              </w:rPr>
              <w:t>的，</w:t>
            </w:r>
            <w:r>
              <w:rPr>
                <w:rFonts w:hint="eastAsia" w:ascii="仿宋_GB2312" w:hAnsi="仿宋_GB2312" w:eastAsia="仿宋_GB2312" w:cs="仿宋_GB2312"/>
                <w:color w:val="auto"/>
                <w:sz w:val="28"/>
                <w:szCs w:val="28"/>
                <w:highlight w:val="none"/>
              </w:rPr>
              <w:t>需具有全日制大专及以上学历（其中全日制本科及以上学历的，需具有相应学位）</w:t>
            </w:r>
            <w:r>
              <w:rPr>
                <w:rFonts w:hint="eastAsia" w:ascii="仿宋_GB2312" w:hAnsi="仿宋_GB2312" w:eastAsia="仿宋_GB2312" w:cs="仿宋_GB2312"/>
                <w:color w:val="auto"/>
                <w:kern w:val="0"/>
                <w:sz w:val="28"/>
                <w:szCs w:val="28"/>
                <w:highlight w:val="none"/>
                <w:lang w:bidi="ar"/>
              </w:rPr>
              <w:t>；专业不限；持高、低压电工、维修电工、暖通、弱电、特种设备管理员证等相关证书者优先考虑；具有3年及以上机电维修或弱电等工程管理工作经历；具有高级工程师及以上专业技术职称或注册公用设备工程师、注册消防工程师、注册电气工程师、一级建造师机电方向等资格证书，年龄可放宽至45周岁。</w:t>
            </w:r>
          </w:p>
        </w:tc>
        <w:tc>
          <w:tcPr>
            <w:tcW w:w="1920" w:type="dxa"/>
            <w:noWrap w:val="0"/>
            <w:vAlign w:val="center"/>
          </w:tcPr>
          <w:p>
            <w:pPr>
              <w:widowControl/>
              <w:spacing w:line="320" w:lineRule="exact"/>
              <w:jc w:val="center"/>
              <w:textAlignment w:val="cente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7000-10000元/月，13薪，缴纳社保</w:t>
            </w:r>
          </w:p>
        </w:tc>
        <w:tc>
          <w:tcPr>
            <w:tcW w:w="1341" w:type="dxa"/>
            <w:noWrap w:val="0"/>
            <w:vAlign w:val="center"/>
          </w:tcPr>
          <w:p>
            <w:pPr>
              <w:spacing w:line="320" w:lineRule="exact"/>
              <w:jc w:val="center"/>
              <w:rPr>
                <w:rFonts w:hint="eastAsia" w:ascii="仿宋_GB2312" w:hAnsi="仿宋_GB2312" w:eastAsia="仿宋_GB2312" w:cs="仿宋_GB2312"/>
                <w:color w:val="auto"/>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blCellSpacing w:w="0" w:type="dxa"/>
          <w:jc w:val="center"/>
        </w:trPr>
        <w:tc>
          <w:tcPr>
            <w:tcW w:w="3537" w:type="dxa"/>
            <w:gridSpan w:val="3"/>
            <w:noWrap w:val="0"/>
            <w:vAlign w:val="center"/>
          </w:tcPr>
          <w:p>
            <w:pPr>
              <w:widowControl/>
              <w:spacing w:line="320" w:lineRule="exact"/>
              <w:jc w:val="center"/>
              <w:textAlignment w:val="center"/>
              <w:rPr>
                <w:rFonts w:hint="eastAsia" w:ascii="仿宋_GB2312" w:hAnsi="仿宋_GB2312" w:eastAsia="仿宋_GB2312" w:cs="仿宋_GB2312"/>
                <w:color w:val="auto"/>
                <w:kern w:val="0"/>
                <w:sz w:val="28"/>
                <w:szCs w:val="28"/>
                <w:highlight w:val="none"/>
                <w:lang w:bidi="ar"/>
              </w:rPr>
            </w:pPr>
            <w:r>
              <w:rPr>
                <w:rFonts w:hint="eastAsia" w:ascii="仿宋_GB2312" w:hAnsi="仿宋_GB2312" w:eastAsia="仿宋_GB2312" w:cs="仿宋_GB2312"/>
                <w:color w:val="auto"/>
                <w:kern w:val="0"/>
                <w:sz w:val="28"/>
                <w:szCs w:val="28"/>
                <w:highlight w:val="none"/>
                <w:lang w:bidi="ar"/>
              </w:rPr>
              <w:t>总计</w:t>
            </w:r>
          </w:p>
        </w:tc>
        <w:tc>
          <w:tcPr>
            <w:tcW w:w="767" w:type="dxa"/>
            <w:noWrap w:val="0"/>
            <w:vAlign w:val="center"/>
          </w:tcPr>
          <w:p>
            <w:pPr>
              <w:widowControl/>
              <w:spacing w:line="320" w:lineRule="exact"/>
              <w:jc w:val="center"/>
              <w:textAlignment w:val="center"/>
              <w:rPr>
                <w:rFonts w:hint="default" w:ascii="仿宋_GB2312" w:hAnsi="仿宋_GB2312" w:eastAsia="仿宋_GB2312" w:cs="仿宋_GB2312"/>
                <w:color w:val="auto"/>
                <w:kern w:val="0"/>
                <w:sz w:val="28"/>
                <w:szCs w:val="28"/>
                <w:highlight w:val="none"/>
                <w:lang w:val="en-US" w:eastAsia="zh-CN" w:bidi="ar"/>
              </w:rPr>
            </w:pPr>
            <w:r>
              <w:rPr>
                <w:rFonts w:hint="eastAsia" w:ascii="仿宋_GB2312" w:hAnsi="仿宋_GB2312" w:eastAsia="仿宋_GB2312" w:cs="仿宋_GB2312"/>
                <w:color w:val="auto"/>
                <w:kern w:val="0"/>
                <w:sz w:val="28"/>
                <w:szCs w:val="28"/>
                <w:highlight w:val="none"/>
                <w:lang w:val="en-US" w:eastAsia="zh-CN" w:bidi="ar"/>
              </w:rPr>
              <w:t>12</w:t>
            </w:r>
          </w:p>
        </w:tc>
        <w:tc>
          <w:tcPr>
            <w:tcW w:w="8017" w:type="dxa"/>
            <w:noWrap w:val="0"/>
            <w:vAlign w:val="center"/>
          </w:tcPr>
          <w:p>
            <w:pPr>
              <w:widowControl/>
              <w:spacing w:line="320" w:lineRule="exact"/>
              <w:textAlignment w:val="center"/>
              <w:rPr>
                <w:rFonts w:hint="eastAsia" w:ascii="仿宋_GB2312" w:hAnsi="仿宋_GB2312" w:eastAsia="仿宋_GB2312" w:cs="仿宋_GB2312"/>
                <w:color w:val="auto"/>
                <w:kern w:val="0"/>
                <w:sz w:val="28"/>
                <w:szCs w:val="28"/>
                <w:highlight w:val="none"/>
                <w:lang w:bidi="ar"/>
              </w:rPr>
            </w:pPr>
          </w:p>
        </w:tc>
        <w:tc>
          <w:tcPr>
            <w:tcW w:w="1920" w:type="dxa"/>
            <w:noWrap w:val="0"/>
            <w:vAlign w:val="center"/>
          </w:tcPr>
          <w:p>
            <w:pPr>
              <w:widowControl/>
              <w:spacing w:line="320" w:lineRule="exact"/>
              <w:jc w:val="center"/>
              <w:textAlignment w:val="center"/>
              <w:rPr>
                <w:rFonts w:hint="eastAsia" w:ascii="仿宋_GB2312" w:hAnsi="仿宋_GB2312" w:eastAsia="仿宋_GB2312" w:cs="仿宋_GB2312"/>
                <w:color w:val="auto"/>
                <w:sz w:val="28"/>
                <w:szCs w:val="28"/>
                <w:highlight w:val="none"/>
              </w:rPr>
            </w:pPr>
          </w:p>
        </w:tc>
        <w:tc>
          <w:tcPr>
            <w:tcW w:w="1341" w:type="dxa"/>
            <w:noWrap w:val="0"/>
            <w:vAlign w:val="center"/>
          </w:tcPr>
          <w:p>
            <w:pPr>
              <w:spacing w:line="320" w:lineRule="exact"/>
              <w:jc w:val="center"/>
              <w:rPr>
                <w:rFonts w:hint="eastAsia" w:ascii="仿宋_GB2312" w:hAnsi="仿宋_GB2312" w:eastAsia="仿宋_GB2312" w:cs="仿宋_GB2312"/>
                <w:color w:val="auto"/>
                <w:sz w:val="24"/>
                <w:highlight w:val="none"/>
              </w:rPr>
            </w:pPr>
          </w:p>
        </w:tc>
      </w:tr>
    </w:tbl>
    <w:p>
      <w:pPr>
        <w:spacing w:line="360" w:lineRule="exact"/>
        <w:jc w:val="left"/>
        <w:rPr>
          <w:rFonts w:ascii="黑体" w:hAnsi="黑体" w:eastAsia="黑体"/>
          <w:color w:val="auto"/>
          <w:sz w:val="28"/>
          <w:szCs w:val="28"/>
          <w:highlight w:val="none"/>
        </w:rPr>
      </w:pPr>
      <w:r>
        <w:rPr>
          <w:rFonts w:ascii="仿宋_GB2312" w:hAnsi="黑体" w:eastAsia="仿宋_GB2312"/>
          <w:color w:val="auto"/>
          <w:sz w:val="28"/>
          <w:szCs w:val="28"/>
          <w:highlight w:val="none"/>
        </w:rPr>
        <w:t>注：专业目录参照202</w:t>
      </w:r>
      <w:r>
        <w:rPr>
          <w:rFonts w:hint="eastAsia" w:ascii="仿宋_GB2312" w:hAnsi="黑体" w:eastAsia="仿宋_GB2312"/>
          <w:color w:val="auto"/>
          <w:sz w:val="28"/>
          <w:szCs w:val="28"/>
          <w:highlight w:val="none"/>
        </w:rPr>
        <w:t>5</w:t>
      </w:r>
      <w:r>
        <w:rPr>
          <w:rFonts w:ascii="仿宋_GB2312" w:hAnsi="黑体" w:eastAsia="仿宋_GB2312"/>
          <w:color w:val="auto"/>
          <w:sz w:val="28"/>
          <w:szCs w:val="28"/>
          <w:highlight w:val="none"/>
        </w:rPr>
        <w:t>年浙江省公务员录用考试专业参考目录。</w:t>
      </w:r>
    </w:p>
    <w:p>
      <w:bookmarkStart w:id="2" w:name="_GoBack"/>
      <w:bookmarkEnd w:id="2"/>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CD78B4"/>
    <w:rsid w:val="19CD78B4"/>
    <w:rsid w:val="33F555A2"/>
    <w:rsid w:val="38EE2CFD"/>
    <w:rsid w:val="3A7A05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ind w:firstLine="585"/>
    </w:pPr>
    <w:rPr>
      <w:rFonts w:eastAsia="仿宋_GB2312"/>
      <w:sz w:val="32"/>
      <w:szCs w:val="20"/>
    </w:r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2025-09-16T07:25:00Z</dcterms:created>
  <dc:creator>徐宇</dc:creator>
  <cp:lastModifiedBy>徐宇</cp:lastModifiedBy>
  <dcterms:modified xsi:type="dcterms:W3CDTF">2025-09-30T03:40:49Z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ies>
</file>