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val="0"/>
        <w:topLinePunct w:val="0"/>
        <w:autoSpaceDE w:val="0"/>
        <w:autoSpaceDN w:val="0"/>
        <w:bidi w:val="0"/>
        <w:adjustRightInd w:val="0"/>
        <w:snapToGrid w:val="0"/>
        <w:spacing w:line="520" w:lineRule="exact"/>
        <w:ind w:right="0" w:rightChars="0"/>
        <w:jc w:val="left"/>
        <w:textAlignment w:val="auto"/>
        <w:rPr>
          <w:rFonts w:hint="eastAsia"/>
        </w:rPr>
      </w:pPr>
      <w:bookmarkStart w:id="0" w:name="_GoBack"/>
      <w:bookmarkEnd w:id="0"/>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附件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w:t>
      </w:r>
    </w:p>
    <w:p>
      <w:pPr>
        <w:keepNext w:val="0"/>
        <w:keepLines w:val="0"/>
        <w:pageBreakBefore w:val="0"/>
        <w:widowControl/>
        <w:kinsoku/>
        <w:wordWrap/>
        <w:overflowPunct/>
        <w:topLinePunct w:val="0"/>
        <w:autoSpaceDE/>
        <w:autoSpaceDN/>
        <w:bidi w:val="0"/>
        <w:adjustRightInd w:val="0"/>
        <w:snapToGrid w:val="0"/>
        <w:spacing w:line="520" w:lineRule="exact"/>
        <w:ind w:right="0" w:rightChars="0" w:firstLine="3080" w:firstLineChars="700"/>
        <w:jc w:val="both"/>
        <w:textAlignment w:val="auto"/>
        <w:outlineLvl w:val="9"/>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岗位简介表</w:t>
      </w:r>
    </w:p>
    <w:tbl>
      <w:tblPr>
        <w:tblStyle w:val="10"/>
        <w:tblpPr w:leftFromText="180" w:rightFromText="180" w:vertAnchor="text" w:horzAnchor="page" w:tblpXSpec="center" w:tblpY="752"/>
        <w:tblOverlap w:val="never"/>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810"/>
        <w:gridCol w:w="732"/>
        <w:gridCol w:w="1260"/>
        <w:gridCol w:w="5675"/>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135" w:hRule="atLeast"/>
          <w:jc w:val="center"/>
        </w:trPr>
        <w:tc>
          <w:tcPr>
            <w:tcW w:w="810"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line="400" w:lineRule="exact"/>
              <w:jc w:val="center"/>
              <w:textAlignment w:val="auto"/>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t>岗位</w:t>
            </w:r>
          </w:p>
          <w:p>
            <w:pPr>
              <w:keepNext w:val="0"/>
              <w:keepLines w:val="0"/>
              <w:pageBreakBefore w:val="0"/>
              <w:widowControl w:val="0"/>
              <w:shd w:val="clear"/>
              <w:kinsoku/>
              <w:wordWrap/>
              <w:overflowPunct/>
              <w:topLinePunct w:val="0"/>
              <w:autoSpaceDE/>
              <w:autoSpaceDN/>
              <w:bidi w:val="0"/>
              <w:adjustRightInd w:val="0"/>
              <w:snapToGrid w:val="0"/>
              <w:spacing w:line="400" w:lineRule="exact"/>
              <w:jc w:val="center"/>
              <w:textAlignment w:val="auto"/>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t>代码</w:t>
            </w:r>
          </w:p>
        </w:tc>
        <w:tc>
          <w:tcPr>
            <w:tcW w:w="732" w:type="dxa"/>
            <w:shd w:val="clear" w:color="auto" w:fill="auto"/>
            <w:vAlign w:val="center"/>
          </w:tcPr>
          <w:p>
            <w:pPr>
              <w:keepNext w:val="0"/>
              <w:keepLines w:val="0"/>
              <w:pageBreakBefore w:val="0"/>
              <w:widowControl w:val="0"/>
              <w:shd w:val="clear"/>
              <w:kinsoku/>
              <w:wordWrap/>
              <w:overflowPunct/>
              <w:topLinePunct w:val="0"/>
              <w:autoSpaceDE/>
              <w:autoSpaceDN/>
              <w:bidi w:val="0"/>
              <w:adjustRightInd w:val="0"/>
              <w:snapToGrid w:val="0"/>
              <w:spacing w:line="400" w:lineRule="exact"/>
              <w:jc w:val="center"/>
              <w:textAlignment w:val="auto"/>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t>选聘</w:t>
            </w:r>
          </w:p>
          <w:p>
            <w:pPr>
              <w:keepNext w:val="0"/>
              <w:keepLines w:val="0"/>
              <w:pageBreakBefore w:val="0"/>
              <w:widowControl w:val="0"/>
              <w:shd w:val="clear"/>
              <w:kinsoku/>
              <w:wordWrap/>
              <w:overflowPunct/>
              <w:topLinePunct w:val="0"/>
              <w:autoSpaceDE/>
              <w:autoSpaceDN/>
              <w:bidi w:val="0"/>
              <w:adjustRightInd w:val="0"/>
              <w:snapToGrid w:val="0"/>
              <w:spacing w:line="400" w:lineRule="exact"/>
              <w:jc w:val="center"/>
              <w:textAlignment w:val="auto"/>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lang w:eastAsia="zh-CN"/>
                <w14:textFill>
                  <w14:solidFill>
                    <w14:schemeClr w14:val="tx1"/>
                  </w14:solidFill>
                </w14:textFill>
              </w:rPr>
              <w:t>单位</w:t>
            </w:r>
          </w:p>
        </w:tc>
        <w:tc>
          <w:tcPr>
            <w:tcW w:w="1260" w:type="dxa"/>
            <w:shd w:val="clear" w:color="auto" w:fill="auto"/>
            <w:vAlign w:val="center"/>
          </w:tcPr>
          <w:p>
            <w:pPr>
              <w:keepNext w:val="0"/>
              <w:keepLines w:val="0"/>
              <w:pageBreakBefore w:val="0"/>
              <w:widowControl/>
              <w:shd w:val="clear"/>
              <w:kinsoku/>
              <w:wordWrap/>
              <w:overflowPunct/>
              <w:topLinePunct w:val="0"/>
              <w:autoSpaceDE/>
              <w:autoSpaceDN/>
              <w:bidi w:val="0"/>
              <w:adjustRightInd w:val="0"/>
              <w:snapToGrid w:val="0"/>
              <w:spacing w:line="520" w:lineRule="exact"/>
              <w:jc w:val="center"/>
              <w:textAlignment w:val="auto"/>
              <w:rPr>
                <w:rFonts w:cs="黑体" w:asciiTheme="minorEastAsia" w:hAnsiTheme="minorEastAsia" w:eastAsiaTheme="minorEastAsia"/>
                <w:b/>
                <w:bCs w:val="0"/>
                <w:color w:val="000000" w:themeColor="text1"/>
                <w:kern w:val="0"/>
                <w:sz w:val="24"/>
                <w:szCs w:val="24"/>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14:textFill>
                  <w14:solidFill>
                    <w14:schemeClr w14:val="tx1"/>
                  </w14:solidFill>
                </w14:textFill>
              </w:rPr>
              <w:t>岗位</w:t>
            </w:r>
          </w:p>
        </w:tc>
        <w:tc>
          <w:tcPr>
            <w:tcW w:w="5675" w:type="dxa"/>
            <w:shd w:val="clear" w:color="auto" w:fill="auto"/>
            <w:vAlign w:val="center"/>
          </w:tcPr>
          <w:p>
            <w:pPr>
              <w:keepNext w:val="0"/>
              <w:keepLines w:val="0"/>
              <w:pageBreakBefore w:val="0"/>
              <w:widowControl/>
              <w:shd w:val="clear"/>
              <w:kinsoku/>
              <w:wordWrap/>
              <w:overflowPunct/>
              <w:topLinePunct w:val="0"/>
              <w:autoSpaceDE/>
              <w:autoSpaceDN/>
              <w:bidi w:val="0"/>
              <w:adjustRightInd w:val="0"/>
              <w:snapToGrid w:val="0"/>
              <w:spacing w:line="520" w:lineRule="exact"/>
              <w:jc w:val="center"/>
              <w:textAlignment w:val="auto"/>
              <w:rPr>
                <w:rFonts w:cs="黑体" w:asciiTheme="minorEastAsia" w:hAnsiTheme="minorEastAsia" w:eastAsiaTheme="minorEastAsia"/>
                <w:b/>
                <w:bCs w:val="0"/>
                <w:color w:val="000000" w:themeColor="text1"/>
                <w:kern w:val="0"/>
                <w:sz w:val="24"/>
                <w:szCs w:val="24"/>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14:textFill>
                  <w14:solidFill>
                    <w14:schemeClr w14:val="tx1"/>
                  </w14:solidFill>
                </w14:textFill>
              </w:rPr>
              <w:t>报考条件及要求</w:t>
            </w:r>
          </w:p>
        </w:tc>
        <w:tc>
          <w:tcPr>
            <w:tcW w:w="705" w:type="dxa"/>
            <w:shd w:val="clear" w:color="auto" w:fill="auto"/>
            <w:vAlign w:val="center"/>
          </w:tcPr>
          <w:p>
            <w:pPr>
              <w:keepNext w:val="0"/>
              <w:keepLines w:val="0"/>
              <w:pageBreakBefore w:val="0"/>
              <w:widowControl/>
              <w:shd w:val="clear"/>
              <w:kinsoku/>
              <w:wordWrap/>
              <w:overflowPunct/>
              <w:topLinePunct w:val="0"/>
              <w:autoSpaceDE/>
              <w:autoSpaceDN/>
              <w:bidi w:val="0"/>
              <w:adjustRightInd w:val="0"/>
              <w:snapToGrid w:val="0"/>
              <w:spacing w:line="520" w:lineRule="exact"/>
              <w:jc w:val="center"/>
              <w:textAlignment w:val="auto"/>
              <w:rPr>
                <w:rFonts w:hint="eastAsia" w:cs="黑体" w:asciiTheme="minorEastAsia" w:hAnsiTheme="minorEastAsia" w:eastAsiaTheme="minorEastAsia"/>
                <w:b/>
                <w:bCs w:val="0"/>
                <w:color w:val="000000" w:themeColor="text1"/>
                <w:kern w:val="0"/>
                <w:sz w:val="24"/>
                <w:szCs w:val="24"/>
                <w14:textFill>
                  <w14:solidFill>
                    <w14:schemeClr w14:val="tx1"/>
                  </w14:solidFill>
                </w14:textFill>
              </w:rPr>
            </w:pPr>
            <w:r>
              <w:rPr>
                <w:rFonts w:hint="eastAsia" w:cs="黑体" w:asciiTheme="minorEastAsia" w:hAnsiTheme="minorEastAsia" w:eastAsiaTheme="minorEastAsia"/>
                <w:b/>
                <w:bCs w:val="0"/>
                <w:color w:val="000000" w:themeColor="text1"/>
                <w:kern w:val="0"/>
                <w:sz w:val="24"/>
                <w:szCs w:val="24"/>
                <w14:textFill>
                  <w14:solidFill>
                    <w14:schemeClr w14:val="tx1"/>
                  </w14:solidFill>
                </w14:textFill>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4990" w:hRule="atLeast"/>
          <w:jc w:val="center"/>
        </w:trPr>
        <w:tc>
          <w:tcPr>
            <w:tcW w:w="8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ascii="宋体" w:hAnsi="宋体" w:eastAsia="宋体" w:cs="楷体_GB2312"/>
                <w:bCs w:val="0"/>
                <w:color w:val="000000"/>
                <w:kern w:val="0"/>
                <w:sz w:val="24"/>
                <w:szCs w:val="24"/>
              </w:rPr>
              <w:t>0</w:t>
            </w:r>
            <w:r>
              <w:rPr>
                <w:rFonts w:hint="eastAsia" w:ascii="宋体" w:hAnsi="宋体" w:eastAsia="宋体" w:cs="楷体_GB2312"/>
                <w:bCs w:val="0"/>
                <w:color w:val="000000"/>
                <w:kern w:val="0"/>
                <w:sz w:val="24"/>
                <w:szCs w:val="24"/>
                <w:lang w:val="en-US" w:eastAsia="zh-CN"/>
              </w:rPr>
              <w:t>1</w:t>
            </w:r>
          </w:p>
        </w:tc>
        <w:tc>
          <w:tcPr>
            <w:tcW w:w="732" w:type="dxa"/>
            <w:vMerge w:val="restart"/>
            <w:shd w:val="clear" w:color="auto" w:fill="auto"/>
            <w:textDirection w:val="tbRlV"/>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113" w:rightChars="0" w:firstLine="240" w:firstLineChars="100"/>
              <w:jc w:val="center"/>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绍兴市产业发展集团有限公司</w:t>
            </w:r>
          </w:p>
        </w:tc>
        <w:tc>
          <w:tcPr>
            <w:tcW w:w="1260" w:type="dxa"/>
            <w:shd w:val="clear" w:color="auto" w:fill="auto"/>
            <w:vAlign w:val="center"/>
          </w:tcPr>
          <w:p>
            <w:pPr>
              <w:keepNext w:val="0"/>
              <w:keepLines w:val="0"/>
              <w:pageBreakBefore w:val="0"/>
              <w:kinsoku/>
              <w:wordWrap/>
              <w:overflowPunct/>
              <w:topLinePunct w:val="0"/>
              <w:autoSpaceDE/>
              <w:autoSpaceDN/>
              <w:bidi w:val="0"/>
              <w:spacing w:line="300" w:lineRule="exact"/>
              <w:jc w:val="center"/>
              <w:textAlignment w:val="auto"/>
              <w:rPr>
                <w:rFonts w:hint="default"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计划财务部部长</w:t>
            </w:r>
          </w:p>
        </w:tc>
        <w:tc>
          <w:tcPr>
            <w:tcW w:w="5675" w:type="dxa"/>
            <w:shd w:val="clear" w:color="auto" w:fill="auto"/>
            <w:vAlign w:val="center"/>
          </w:tcPr>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1.年龄45周岁以下（1977年7月10日以后出生）；</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2.具有会计、财务管理、审计、金融、财税等财务类相关专业大学本科及以上学历；</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3.具有会计（或审计、经济类）高级以上职称或注册会计师执业资格；</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4.具有市属国企或相似于市属国企中层副职2年及以上工作经历；</w:t>
            </w:r>
            <w:r>
              <w:rPr>
                <w:rFonts w:hint="eastAsia" w:ascii="宋体" w:hAnsi="宋体" w:eastAsia="宋体" w:cs="仿宋_GB2312"/>
                <w:color w:val="000000"/>
                <w:sz w:val="24"/>
                <w:szCs w:val="24"/>
                <w:lang w:val="en-US" w:eastAsia="zh-CN"/>
              </w:rPr>
              <w:br w:type="textWrapping"/>
            </w:r>
            <w:r>
              <w:rPr>
                <w:rFonts w:hint="eastAsia" w:ascii="宋体" w:hAnsi="宋体" w:eastAsia="宋体" w:cs="仿宋_GB2312"/>
                <w:color w:val="000000"/>
                <w:sz w:val="24"/>
                <w:szCs w:val="24"/>
                <w:lang w:val="en-US" w:eastAsia="zh-CN"/>
              </w:rPr>
              <w:t>5.财务创新意识强，有胜任岗位职责需具备的决策判断能力、财务管理能力、开拓创新能力、沟通协调能力、以及处理复杂问题和突发事件的能力，工作业绩优良，善于带队伍；</w:t>
            </w:r>
            <w:r>
              <w:rPr>
                <w:rFonts w:hint="eastAsia" w:ascii="宋体" w:hAnsi="宋体" w:eastAsia="宋体" w:cs="仿宋_GB2312"/>
                <w:color w:val="000000"/>
                <w:sz w:val="24"/>
                <w:szCs w:val="24"/>
                <w:lang w:val="en-US" w:eastAsia="zh-CN"/>
              </w:rPr>
              <w:br w:type="textWrapping"/>
            </w:r>
            <w:r>
              <w:rPr>
                <w:rFonts w:hint="eastAsia" w:ascii="宋体" w:hAnsi="宋体" w:eastAsia="宋体" w:cs="仿宋_GB2312"/>
                <w:color w:val="000000"/>
                <w:sz w:val="24"/>
                <w:szCs w:val="24"/>
                <w:lang w:val="en-US" w:eastAsia="zh-CN"/>
              </w:rPr>
              <w:t>6.熟悉有关经济政策及法律法规，熟悉市场和相关行业情况，熟悉现代企业管理流程，担当作为，开拓进取。</w:t>
            </w:r>
            <w:r>
              <w:rPr>
                <w:rFonts w:hint="eastAsia" w:ascii="宋体" w:hAnsi="宋体" w:eastAsia="宋体" w:cs="仿宋_GB2312"/>
                <w:color w:val="000000"/>
                <w:sz w:val="24"/>
                <w:szCs w:val="24"/>
                <w:lang w:val="en-US" w:eastAsia="zh-CN"/>
              </w:rPr>
              <w:br w:type="textWrapping"/>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ascii="宋体" w:hAnsi="宋体" w:eastAsia="宋体" w:cs="楷体_GB2312"/>
                <w:bCs w:val="0"/>
                <w:color w:val="000000"/>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555" w:hRule="atLeast"/>
          <w:jc w:val="center"/>
        </w:trPr>
        <w:tc>
          <w:tcPr>
            <w:tcW w:w="8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cs="楷体_GB2312" w:asciiTheme="minorEastAsia" w:hAnsiTheme="minorEastAsia" w:eastAsiaTheme="minorEastAsia"/>
                <w:bCs w:val="0"/>
                <w:color w:val="000000" w:themeColor="text1"/>
                <w:kern w:val="0"/>
                <w:sz w:val="24"/>
                <w:szCs w:val="24"/>
                <w:lang w:eastAsia="zh-CN"/>
                <w14:textFill>
                  <w14:solidFill>
                    <w14:schemeClr w14:val="tx1"/>
                  </w14:solidFill>
                </w14:textFill>
              </w:rPr>
            </w:pPr>
            <w:r>
              <w:rPr>
                <w:rFonts w:hint="eastAsia" w:ascii="宋体" w:hAnsi="宋体" w:eastAsia="宋体" w:cs="楷体_GB2312"/>
                <w:bCs w:val="0"/>
                <w:color w:val="000000"/>
                <w:kern w:val="0"/>
                <w:sz w:val="24"/>
                <w:szCs w:val="24"/>
                <w:lang w:val="en-US" w:eastAsia="zh-CN"/>
              </w:rPr>
              <w:t>02</w:t>
            </w:r>
          </w:p>
        </w:tc>
        <w:tc>
          <w:tcPr>
            <w:tcW w:w="732"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113" w:rightChars="0" w:firstLine="240" w:firstLineChars="100"/>
              <w:textAlignment w:val="auto"/>
              <w:rPr>
                <w:rFonts w:hint="eastAsia" w:ascii="宋体" w:hAnsi="宋体" w:eastAsia="宋体" w:cs="仿宋_GB2312"/>
                <w:color w:val="000000"/>
                <w:sz w:val="24"/>
                <w:szCs w:val="24"/>
                <w:lang w:val="en-US" w:eastAsia="zh-CN"/>
              </w:rPr>
            </w:pPr>
          </w:p>
        </w:tc>
        <w:tc>
          <w:tcPr>
            <w:tcW w:w="1260" w:type="dxa"/>
            <w:shd w:val="clear" w:color="auto" w:fill="auto"/>
            <w:vAlign w:val="center"/>
          </w:tcPr>
          <w:p>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综合监督部</w:t>
            </w:r>
          </w:p>
          <w:p>
            <w:pPr>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副部长</w:t>
            </w:r>
          </w:p>
        </w:tc>
        <w:tc>
          <w:tcPr>
            <w:tcW w:w="5675" w:type="dxa"/>
            <w:shd w:val="clear" w:color="auto" w:fill="auto"/>
            <w:vAlign w:val="center"/>
          </w:tcPr>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1.年龄45周岁及以下（1977年7月10日以后出生）；</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2.具有审计、金融、会计等经济类相关专业本科及以上学历；</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3.具有会计师事务所1年及以上工作经历或具有企业内部审计、内控岗位5年及以上工作经历；</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4.思维清晰敏捷，工作认真细致，作风严谨踏实；熟悉审计法律法规、政策和企业内部审计制度；</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5.具有扎实的审计业务功底，能独立完成国有企业内部审计计划的编制及指导，且具有良好的审计沟通协调、抗压能力和团队合作精神，能带领团队完成计划的实施工作；</w:t>
            </w:r>
          </w:p>
          <w:p>
            <w:pPr>
              <w:keepNext w:val="0"/>
              <w:keepLines w:val="0"/>
              <w:pageBreakBefore w:val="0"/>
              <w:kinsoku/>
              <w:wordWrap/>
              <w:overflowPunct/>
              <w:topLinePunct w:val="0"/>
              <w:autoSpaceDE/>
              <w:autoSpaceDN/>
              <w:bidi w:val="0"/>
              <w:spacing w:line="300" w:lineRule="exact"/>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6.具有国企工作经历、CPA证书、高级会计师职称的优先。</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880" w:hRule="atLeast"/>
          <w:jc w:val="center"/>
        </w:trPr>
        <w:tc>
          <w:tcPr>
            <w:tcW w:w="8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宋体" w:hAnsi="宋体" w:eastAsia="宋体" w:cs="楷体_GB2312"/>
                <w:bCs w:val="0"/>
                <w:color w:val="000000"/>
                <w:kern w:val="0"/>
                <w:sz w:val="24"/>
                <w:szCs w:val="24"/>
                <w:lang w:val="en-US" w:eastAsia="zh-CN"/>
              </w:rPr>
            </w:pPr>
            <w:r>
              <w:rPr>
                <w:rFonts w:hint="eastAsia" w:ascii="宋体" w:hAnsi="宋体" w:eastAsia="宋体" w:cs="楷体_GB2312"/>
                <w:bCs w:val="0"/>
                <w:color w:val="000000"/>
                <w:kern w:val="0"/>
                <w:sz w:val="24"/>
                <w:szCs w:val="24"/>
                <w:lang w:val="en-US" w:eastAsia="zh-CN"/>
              </w:rPr>
              <w:t>03</w:t>
            </w:r>
          </w:p>
        </w:tc>
        <w:tc>
          <w:tcPr>
            <w:tcW w:w="732" w:type="dxa"/>
            <w:vMerge w:val="restart"/>
            <w:shd w:val="clear" w:color="auto" w:fill="auto"/>
            <w:textDirection w:val="tbRlV"/>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113" w:rightChars="0" w:firstLine="240" w:firstLineChars="100"/>
              <w:jc w:val="center"/>
              <w:textAlignment w:val="auto"/>
              <w:rPr>
                <w:rFonts w:hint="eastAsia" w:ascii="宋体" w:hAnsi="宋体" w:eastAsia="宋体" w:cs="仿宋_GB2312"/>
                <w:color w:val="000000"/>
                <w:sz w:val="24"/>
                <w:szCs w:val="24"/>
                <w:lang w:val="en-US" w:eastAsia="zh-CN"/>
              </w:rPr>
            </w:pPr>
            <w:r>
              <w:rPr>
                <w:rFonts w:hint="eastAsia" w:ascii="宋体" w:hAnsi="宋体" w:eastAsia="宋体" w:cs="仿宋_GB2312"/>
                <w:color w:val="000000"/>
                <w:sz w:val="24"/>
                <w:szCs w:val="24"/>
                <w:lang w:val="en-US" w:eastAsia="zh-CN"/>
              </w:rPr>
              <w:t>绍兴市产业发展集团有限公司</w:t>
            </w:r>
          </w:p>
        </w:tc>
        <w:tc>
          <w:tcPr>
            <w:tcW w:w="1260" w:type="dxa"/>
            <w:shd w:val="clear" w:color="auto" w:fill="auto"/>
            <w:vAlign w:val="center"/>
          </w:tcPr>
          <w:p>
            <w:pPr>
              <w:widowControl/>
              <w:shd w:val="clear"/>
              <w:adjustRightInd w:val="0"/>
              <w:snapToGrid w:val="0"/>
              <w:spacing w:line="360" w:lineRule="exact"/>
              <w:jc w:val="center"/>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eastAsia="zh-CN"/>
              </w:rPr>
              <w:t>投资分析</w:t>
            </w:r>
          </w:p>
        </w:tc>
        <w:tc>
          <w:tcPr>
            <w:tcW w:w="5675" w:type="dxa"/>
            <w:shd w:val="clear" w:color="auto" w:fill="auto"/>
            <w:vAlign w:val="center"/>
          </w:tcPr>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仿宋" w:hAnsi="仿宋" w:eastAsia="仿宋" w:cs="仿宋"/>
                <w:bCs/>
                <w:color w:val="000000" w:themeColor="text1"/>
                <w:spacing w:val="-6"/>
                <w:kern w:val="0"/>
                <w:sz w:val="24"/>
                <w14:textFill>
                  <w14:solidFill>
                    <w14:schemeClr w14:val="tx1"/>
                  </w14:solidFill>
                </w14:textFill>
              </w:rPr>
              <w:t>1</w:t>
            </w:r>
            <w:r>
              <w:rPr>
                <w:rFonts w:hint="eastAsia" w:asciiTheme="minorEastAsia" w:hAnsiTheme="minorEastAsia" w:eastAsiaTheme="minorEastAsia" w:cstheme="minorEastAsia"/>
                <w:color w:val="auto"/>
                <w:kern w:val="0"/>
                <w:sz w:val="24"/>
                <w:lang w:eastAsia="zh-CN"/>
              </w:rPr>
              <w:t>.年龄35周岁及以下</w:t>
            </w:r>
            <w:r>
              <w:rPr>
                <w:rFonts w:hint="eastAsia" w:asciiTheme="minorEastAsia" w:hAnsiTheme="minorEastAsia" w:eastAsiaTheme="minorEastAsia" w:cstheme="minorEastAsia"/>
                <w:color w:val="auto"/>
                <w:kern w:val="0"/>
                <w:sz w:val="24"/>
                <w:lang w:val="en-US" w:eastAsia="zh-CN"/>
              </w:rPr>
              <w:t>（1987年7月10日以后出生）</w:t>
            </w:r>
            <w:r>
              <w:rPr>
                <w:rFonts w:hint="eastAsia" w:asciiTheme="minorEastAsia" w:hAnsiTheme="minorEastAsia" w:eastAsiaTheme="minorEastAsia" w:cstheme="minorEastAsia"/>
                <w:color w:val="auto"/>
                <w:kern w:val="0"/>
                <w:sz w:val="24"/>
                <w:lang w:eastAsia="zh-CN"/>
              </w:rPr>
              <w:t>；</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val="en-US" w:eastAsia="zh-CN"/>
              </w:rPr>
              <w:t>2.</w:t>
            </w:r>
            <w:r>
              <w:rPr>
                <w:rFonts w:hint="eastAsia" w:asciiTheme="minorEastAsia" w:hAnsiTheme="minorEastAsia" w:eastAsiaTheme="minorEastAsia" w:cstheme="minorEastAsia"/>
                <w:color w:val="auto"/>
                <w:kern w:val="0"/>
                <w:sz w:val="24"/>
                <w:lang w:eastAsia="zh-CN"/>
              </w:rPr>
              <w:t>具有研究生及以上学历，专业不限，并具有证券或基金从业资格证书；</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val="en-US" w:eastAsia="zh-CN"/>
              </w:rPr>
              <w:t>3.</w:t>
            </w:r>
            <w:r>
              <w:rPr>
                <w:rFonts w:hint="eastAsia" w:asciiTheme="minorEastAsia" w:hAnsiTheme="minorEastAsia" w:eastAsiaTheme="minorEastAsia" w:cstheme="minorEastAsia"/>
                <w:color w:val="auto"/>
                <w:kern w:val="0"/>
                <w:sz w:val="24"/>
                <w:lang w:eastAsia="zh-CN"/>
              </w:rPr>
              <w:t>具有三年及以上金融等相关专业分析研究工作经历，在所研究领域有较突出的业绩，并能提供相关证明材料；</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val="en-US" w:eastAsia="zh-CN"/>
              </w:rPr>
              <w:t>4.</w:t>
            </w:r>
            <w:r>
              <w:rPr>
                <w:rFonts w:hint="eastAsia" w:asciiTheme="minorEastAsia" w:hAnsiTheme="minorEastAsia" w:eastAsiaTheme="minorEastAsia" w:cstheme="minorEastAsia"/>
                <w:color w:val="auto"/>
                <w:kern w:val="0"/>
                <w:sz w:val="24"/>
                <w:lang w:eastAsia="zh-CN"/>
              </w:rPr>
              <w:t>工作严谨，具有良好的团队合作、沟通协调能力和扎实的文字能力，能独立撰写分析报告；</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eastAsia="zh-CN"/>
              </w:rPr>
              <w:t>5.能服从公司出差安排，适应外地出差；</w:t>
            </w:r>
            <w:r>
              <w:rPr>
                <w:rFonts w:hint="eastAsia" w:asciiTheme="minorEastAsia" w:hAnsiTheme="minorEastAsia" w:eastAsiaTheme="minorEastAsia" w:cstheme="minorEastAsia"/>
                <w:color w:val="auto"/>
                <w:kern w:val="0"/>
                <w:sz w:val="24"/>
                <w:lang w:val="en-US" w:eastAsia="zh-CN"/>
              </w:rPr>
              <w:t xml:space="preserve">            6.具有</w:t>
            </w:r>
            <w:r>
              <w:rPr>
                <w:rFonts w:hint="eastAsia" w:asciiTheme="minorEastAsia" w:hAnsiTheme="minorEastAsia" w:eastAsiaTheme="minorEastAsia" w:cstheme="minorEastAsia"/>
                <w:color w:val="auto"/>
                <w:kern w:val="0"/>
                <w:sz w:val="24"/>
                <w:lang w:eastAsia="zh-CN"/>
              </w:rPr>
              <w:t>注册会计师CPA、特许金融分析师CFA，且表现良好者优先。</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970" w:hRule="atLeast"/>
          <w:jc w:val="center"/>
        </w:trPr>
        <w:tc>
          <w:tcPr>
            <w:tcW w:w="8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宋体" w:hAnsi="宋体" w:eastAsia="宋体" w:cs="楷体_GB2312"/>
                <w:bCs w:val="0"/>
                <w:color w:val="000000"/>
                <w:kern w:val="0"/>
                <w:sz w:val="24"/>
                <w:szCs w:val="24"/>
                <w:lang w:val="en-US" w:eastAsia="zh-CN"/>
              </w:rPr>
            </w:pPr>
            <w:r>
              <w:rPr>
                <w:rFonts w:hint="eastAsia" w:ascii="宋体" w:hAnsi="宋体" w:eastAsia="宋体" w:cs="楷体_GB2312"/>
                <w:bCs w:val="0"/>
                <w:color w:val="000000"/>
                <w:kern w:val="0"/>
                <w:sz w:val="24"/>
                <w:szCs w:val="24"/>
                <w:lang w:val="en-US" w:eastAsia="zh-CN"/>
              </w:rPr>
              <w:t>04</w:t>
            </w:r>
          </w:p>
        </w:tc>
        <w:tc>
          <w:tcPr>
            <w:tcW w:w="732" w:type="dxa"/>
            <w:vMerge w:val="continue"/>
            <w:shd w:val="clear" w:color="auto" w:fill="auto"/>
            <w:textDirection w:val="tbRlV"/>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113" w:rightChars="0" w:firstLine="240" w:firstLineChars="100"/>
              <w:textAlignment w:val="auto"/>
              <w:rPr>
                <w:rFonts w:hint="eastAsia" w:ascii="宋体" w:hAnsi="宋体" w:eastAsia="宋体" w:cs="仿宋_GB2312"/>
                <w:color w:val="000000"/>
                <w:sz w:val="24"/>
                <w:szCs w:val="24"/>
                <w:lang w:val="en-US" w:eastAsia="zh-CN"/>
              </w:rPr>
            </w:pPr>
          </w:p>
        </w:tc>
        <w:tc>
          <w:tcPr>
            <w:tcW w:w="1260" w:type="dxa"/>
            <w:shd w:val="clear" w:color="auto" w:fill="auto"/>
            <w:vAlign w:val="center"/>
          </w:tcPr>
          <w:p>
            <w:pPr>
              <w:widowControl/>
              <w:shd w:val="clear"/>
              <w:adjustRightInd w:val="0"/>
              <w:snapToGrid w:val="0"/>
              <w:spacing w:line="360" w:lineRule="exact"/>
              <w:jc w:val="center"/>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eastAsia="zh-CN"/>
              </w:rPr>
              <w:t>风险控制</w:t>
            </w:r>
          </w:p>
        </w:tc>
        <w:tc>
          <w:tcPr>
            <w:tcW w:w="5675" w:type="dxa"/>
            <w:shd w:val="clear" w:color="auto" w:fill="auto"/>
            <w:vAlign w:val="center"/>
          </w:tcPr>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eastAsia="zh-CN"/>
              </w:rPr>
              <w:t>1.35周</w:t>
            </w:r>
            <w:r>
              <w:rPr>
                <w:rFonts w:hint="eastAsia" w:asciiTheme="minorEastAsia" w:hAnsiTheme="minorEastAsia" w:eastAsiaTheme="minorEastAsia" w:cstheme="minorEastAsia"/>
                <w:color w:val="auto"/>
                <w:kern w:val="0"/>
                <w:sz w:val="24"/>
                <w:lang w:val="en-US" w:eastAsia="zh-CN"/>
              </w:rPr>
              <w:t>岁及以下（1987年7月10日以后出生）；</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2.具有法学类等相关专业研究生及以上学历，并具有法律职业资格证书；</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val="en-US" w:eastAsia="zh-CN"/>
              </w:rPr>
              <w:t>3.具有3年及以上法务、风控等相关工作经验，且具有丰富的金融投资管理知识，熟悉股权投资、基金管理、类金融业务流</w:t>
            </w:r>
            <w:r>
              <w:rPr>
                <w:rFonts w:hint="eastAsia" w:asciiTheme="minorEastAsia" w:hAnsiTheme="minorEastAsia" w:eastAsiaTheme="minorEastAsia" w:cstheme="minorEastAsia"/>
                <w:color w:val="auto"/>
                <w:kern w:val="0"/>
                <w:sz w:val="24"/>
                <w:lang w:eastAsia="zh-CN"/>
              </w:rPr>
              <w:t>程、法律法规和国家相关政策；</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eastAsia="zh-CN"/>
              </w:rPr>
            </w:pPr>
            <w:r>
              <w:rPr>
                <w:rFonts w:hint="eastAsia" w:asciiTheme="minorEastAsia" w:hAnsiTheme="minorEastAsia" w:eastAsiaTheme="minorEastAsia" w:cstheme="minorEastAsia"/>
                <w:color w:val="auto"/>
                <w:kern w:val="0"/>
                <w:sz w:val="24"/>
                <w:lang w:val="en-US" w:eastAsia="zh-CN"/>
              </w:rPr>
              <w:t>4</w:t>
            </w:r>
            <w:r>
              <w:rPr>
                <w:rFonts w:hint="eastAsia" w:asciiTheme="minorEastAsia" w:hAnsiTheme="minorEastAsia" w:eastAsiaTheme="minorEastAsia" w:cstheme="minorEastAsia"/>
                <w:color w:val="auto"/>
                <w:kern w:val="0"/>
                <w:sz w:val="24"/>
                <w:lang w:eastAsia="zh-CN"/>
              </w:rPr>
              <w:t>.工作严谨，具有良好的团队合作、沟通协调能力和独立审查项目、分析企业法务信息、客观评价项目风险、撰写尽调报告的能力；</w:t>
            </w:r>
          </w:p>
          <w:p>
            <w:pPr>
              <w:widowControl/>
              <w:shd w:val="clear"/>
              <w:adjustRightInd w:val="0"/>
              <w:snapToGrid w:val="0"/>
              <w:spacing w:line="360" w:lineRule="exact"/>
              <w:jc w:val="left"/>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5.</w:t>
            </w:r>
            <w:r>
              <w:rPr>
                <w:rFonts w:hint="eastAsia" w:asciiTheme="minorEastAsia" w:hAnsiTheme="minorEastAsia" w:eastAsiaTheme="minorEastAsia" w:cstheme="minorEastAsia"/>
                <w:color w:val="auto"/>
                <w:kern w:val="0"/>
                <w:sz w:val="24"/>
                <w:lang w:eastAsia="zh-CN"/>
              </w:rPr>
              <w:t>能服从公司出差安排，适应外地出差。</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00" w:hRule="atLeast"/>
          <w:jc w:val="center"/>
        </w:trPr>
        <w:tc>
          <w:tcPr>
            <w:tcW w:w="810"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宋体" w:hAnsi="宋体" w:eastAsia="宋体" w:cs="楷体_GB2312"/>
                <w:bCs w:val="0"/>
                <w:color w:val="000000"/>
                <w:kern w:val="0"/>
                <w:sz w:val="24"/>
                <w:szCs w:val="24"/>
                <w:lang w:val="en-US" w:eastAsia="zh-CN"/>
              </w:rPr>
            </w:pPr>
            <w:r>
              <w:rPr>
                <w:rFonts w:hint="eastAsia" w:ascii="宋体" w:hAnsi="宋体" w:eastAsia="宋体" w:cs="楷体_GB2312"/>
                <w:bCs w:val="0"/>
                <w:color w:val="000000"/>
                <w:kern w:val="0"/>
                <w:sz w:val="24"/>
                <w:szCs w:val="24"/>
                <w:lang w:val="en-US" w:eastAsia="zh-CN"/>
              </w:rPr>
              <w:t>05</w:t>
            </w:r>
          </w:p>
        </w:tc>
        <w:tc>
          <w:tcPr>
            <w:tcW w:w="732" w:type="dxa"/>
            <w:shd w:val="clear" w:color="auto" w:fill="auto"/>
            <w:textDirection w:val="tbRlV"/>
            <w:vAlign w:val="center"/>
          </w:tcPr>
          <w:p>
            <w:pPr>
              <w:widowControl/>
              <w:shd w:val="clear"/>
              <w:adjustRightInd w:val="0"/>
              <w:snapToGrid w:val="0"/>
              <w:spacing w:line="360" w:lineRule="exact"/>
              <w:ind w:left="113" w:leftChars="0" w:right="113" w:rightChars="0"/>
              <w:jc w:val="center"/>
              <w:rPr>
                <w:rFonts w:hint="eastAsia" w:ascii="宋体" w:hAnsi="宋体" w:eastAsia="宋体" w:cs="仿宋_GB2312"/>
                <w:color w:val="000000"/>
                <w:sz w:val="24"/>
                <w:szCs w:val="24"/>
                <w:lang w:val="en-US" w:eastAsia="zh-CN"/>
              </w:rPr>
            </w:pPr>
            <w:r>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t>绍兴平水工程质量检测有限公司</w:t>
            </w:r>
          </w:p>
        </w:tc>
        <w:tc>
          <w:tcPr>
            <w:tcW w:w="1260" w:type="dxa"/>
            <w:shd w:val="clear" w:color="auto" w:fill="auto"/>
            <w:vAlign w:val="center"/>
          </w:tcPr>
          <w:p>
            <w:pPr>
              <w:widowControl/>
              <w:shd w:val="clear"/>
              <w:adjustRightInd w:val="0"/>
              <w:snapToGrid w:val="0"/>
              <w:spacing w:line="360" w:lineRule="exact"/>
              <w:jc w:val="center"/>
              <w:rPr>
                <w:rFonts w:hint="eastAsia" w:ascii="宋体" w:hAnsi="宋体" w:eastAsia="宋体" w:cs="仿宋_GB2312"/>
                <w:color w:val="000000"/>
                <w:sz w:val="24"/>
                <w:szCs w:val="24"/>
                <w:lang w:val="en-US" w:eastAsia="zh-CN"/>
              </w:rPr>
            </w:pPr>
            <w:r>
              <w:rPr>
                <w:rFonts w:hint="eastAsia" w:asciiTheme="minorEastAsia" w:hAnsiTheme="minorEastAsia" w:eastAsiaTheme="minorEastAsia" w:cstheme="minorEastAsia"/>
                <w:color w:val="auto"/>
                <w:kern w:val="0"/>
                <w:sz w:val="24"/>
                <w:lang w:eastAsia="zh-CN"/>
              </w:rPr>
              <w:t>室内环境质量检测员</w:t>
            </w:r>
          </w:p>
        </w:tc>
        <w:tc>
          <w:tcPr>
            <w:tcW w:w="5675" w:type="dxa"/>
            <w:shd w:val="clear" w:color="auto" w:fill="auto"/>
            <w:vAlign w:val="center"/>
          </w:tcPr>
          <w:p>
            <w:pPr>
              <w:widowControl/>
              <w:shd w:val="clear"/>
              <w:adjustRightInd w:val="0"/>
              <w:snapToGrid w:val="0"/>
              <w:spacing w:line="360" w:lineRule="exact"/>
              <w:jc w:val="left"/>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auto"/>
                <w:sz w:val="24"/>
                <w:lang w:val="en-US" w:eastAsia="zh-CN"/>
              </w:rPr>
              <w:t>1</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.女性40周岁及以下</w:t>
            </w:r>
            <w:r>
              <w:rPr>
                <w:rFonts w:hint="eastAsia" w:ascii="宋体" w:hAnsi="宋体" w:eastAsia="宋体" w:cs="仿宋_GB2312"/>
                <w:color w:val="000000"/>
                <w:sz w:val="24"/>
                <w:szCs w:val="24"/>
                <w:lang w:val="en-US" w:eastAsia="zh-CN"/>
              </w:rPr>
              <w:t>（1982年7月10日以后出生），</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男性45周岁及以下</w:t>
            </w:r>
            <w:r>
              <w:rPr>
                <w:rFonts w:hint="eastAsia" w:ascii="宋体" w:hAnsi="宋体" w:eastAsia="宋体" w:cs="仿宋_GB2312"/>
                <w:color w:val="000000"/>
                <w:sz w:val="24"/>
                <w:szCs w:val="24"/>
                <w:lang w:val="en-US" w:eastAsia="zh-CN"/>
              </w:rPr>
              <w:t>（1977年7月10日以后出生）</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w:t>
            </w:r>
          </w:p>
          <w:p>
            <w:pPr>
              <w:widowControl/>
              <w:shd w:val="clear"/>
              <w:adjustRightInd w:val="0"/>
              <w:snapToGrid w:val="0"/>
              <w:spacing w:line="360" w:lineRule="exact"/>
              <w:jc w:val="left"/>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2.化学、土木工程、建筑、材料科学与工程等相关专业本科及以上学历；</w:t>
            </w:r>
          </w:p>
          <w:p>
            <w:pPr>
              <w:widowControl/>
              <w:shd w:val="clear"/>
              <w:adjustRightInd w:val="0"/>
              <w:snapToGrid w:val="0"/>
              <w:spacing w:line="360" w:lineRule="exact"/>
              <w:jc w:val="left"/>
              <w:rPr>
                <w:rFonts w:hint="default"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3.具有2年及以上化学分析或室内环境质量检测的工作经历；</w:t>
            </w:r>
          </w:p>
          <w:p>
            <w:pPr>
              <w:widowControl/>
              <w:shd w:val="clear"/>
              <w:adjustRightInd w:val="0"/>
              <w:snapToGrid w:val="0"/>
              <w:spacing w:line="360" w:lineRule="exact"/>
              <w:jc w:val="left"/>
              <w:rPr>
                <w:rFonts w:hint="eastAsia" w:ascii="宋体" w:hAnsi="宋体" w:eastAsia="宋体" w:cs="仿宋_GB2312"/>
                <w:color w:val="000000"/>
                <w:sz w:val="24"/>
                <w:szCs w:val="24"/>
                <w:lang w:val="en-US" w:eastAsia="zh-CN"/>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4.具有浙江省工程建设质量管理协会颁发室内环境质量检测培训合格证的优先。</w:t>
            </w:r>
          </w:p>
        </w:tc>
        <w:tc>
          <w:tcPr>
            <w:tcW w:w="70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pPr>
            <w:r>
              <w:rPr>
                <w:rFonts w:hint="eastAsia" w:cs="楷体_GB2312" w:asciiTheme="minorEastAsia" w:hAnsiTheme="minorEastAsia" w:eastAsiaTheme="minorEastAsia"/>
                <w:bCs w:val="0"/>
                <w:color w:val="000000" w:themeColor="text1"/>
                <w:kern w:val="0"/>
                <w:sz w:val="24"/>
                <w:szCs w:val="24"/>
                <w:lang w:val="en-US" w:eastAsia="zh-CN"/>
                <w14:textFill>
                  <w14:solidFill>
                    <w14:schemeClr w14:val="tx1"/>
                  </w14:solidFill>
                </w14:textFill>
              </w:rPr>
              <w:t>1</w:t>
            </w:r>
          </w:p>
        </w:tc>
      </w:tr>
    </w:tbl>
    <w:p>
      <w:pPr>
        <w:spacing w:line="560" w:lineRule="exact"/>
        <w:jc w:val="both"/>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bidi w:val="0"/>
        <w:rPr>
          <w:rFonts w:ascii="仿宋_GB2312" w:hAnsi="Times New Roman" w:eastAsia="仿宋_GB2312" w:cs="Times New Roman"/>
          <w:bCs/>
          <w:kern w:val="2"/>
          <w:sz w:val="28"/>
          <w:szCs w:val="28"/>
          <w:lang w:val="en-US" w:eastAsia="zh-CN" w:bidi="ar-SA"/>
        </w:rPr>
      </w:pPr>
    </w:p>
    <w:p>
      <w:pPr>
        <w:bidi w:val="0"/>
        <w:rPr>
          <w:lang w:val="en-US" w:eastAsia="zh-CN"/>
        </w:rPr>
      </w:pPr>
    </w:p>
    <w:sectPr>
      <w:footerReference r:id="rId3" w:type="default"/>
      <w:pgSz w:w="11906" w:h="16838"/>
      <w:pgMar w:top="1440" w:right="1800" w:bottom="1440" w:left="1800" w:header="851" w:footer="992" w:gutter="0"/>
      <w:cols w:space="0" w:num="1"/>
      <w:rtlGutter w:val="0"/>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6wzidABAACi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tHPRKJcdhkxWE/TAz2vjkTsZ42oOaO&#10;Fp4z88GRwGlZZgNmYz8bxwD60NGMy9wPw9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n6wzidABAACiAwAADgAAAAAAAAABACAAAAAeAQAAZHJz&#10;L2Uyb0RvYy54bWxQSwUGAAAAAAYABgBZAQAAYA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DJiZTM3ZWQ0ODczOWQ3ZWU5Y2ZjNTViODQzYWUifQ=="/>
  </w:docVars>
  <w:rsids>
    <w:rsidRoot w:val="00000000"/>
    <w:rsid w:val="002D1EDF"/>
    <w:rsid w:val="004D2023"/>
    <w:rsid w:val="007E4A5D"/>
    <w:rsid w:val="00800CCB"/>
    <w:rsid w:val="011253ED"/>
    <w:rsid w:val="015E0576"/>
    <w:rsid w:val="0215329B"/>
    <w:rsid w:val="02167DC0"/>
    <w:rsid w:val="030B2A3C"/>
    <w:rsid w:val="03221F11"/>
    <w:rsid w:val="035D5A21"/>
    <w:rsid w:val="03600692"/>
    <w:rsid w:val="038C1944"/>
    <w:rsid w:val="039C57C0"/>
    <w:rsid w:val="03C2759E"/>
    <w:rsid w:val="04075E27"/>
    <w:rsid w:val="0414147C"/>
    <w:rsid w:val="041A41C2"/>
    <w:rsid w:val="04846602"/>
    <w:rsid w:val="04874344"/>
    <w:rsid w:val="049559A0"/>
    <w:rsid w:val="049D76C3"/>
    <w:rsid w:val="04B213C1"/>
    <w:rsid w:val="04B70785"/>
    <w:rsid w:val="05325E2D"/>
    <w:rsid w:val="054933A7"/>
    <w:rsid w:val="05AE4719"/>
    <w:rsid w:val="0629718B"/>
    <w:rsid w:val="063363CC"/>
    <w:rsid w:val="06EE7D96"/>
    <w:rsid w:val="073D0CEA"/>
    <w:rsid w:val="074522BB"/>
    <w:rsid w:val="07474D01"/>
    <w:rsid w:val="079B64F1"/>
    <w:rsid w:val="07A87FE0"/>
    <w:rsid w:val="07B15D48"/>
    <w:rsid w:val="07D210DF"/>
    <w:rsid w:val="07E673AA"/>
    <w:rsid w:val="080471C0"/>
    <w:rsid w:val="08887942"/>
    <w:rsid w:val="08CE34F3"/>
    <w:rsid w:val="091A161B"/>
    <w:rsid w:val="094B758E"/>
    <w:rsid w:val="096B38AC"/>
    <w:rsid w:val="09AD65FB"/>
    <w:rsid w:val="09BC61D6"/>
    <w:rsid w:val="0A0009F6"/>
    <w:rsid w:val="0A0D0E47"/>
    <w:rsid w:val="0A173627"/>
    <w:rsid w:val="0A4A3E4A"/>
    <w:rsid w:val="0A5A0A4F"/>
    <w:rsid w:val="0A5E78F5"/>
    <w:rsid w:val="0ABB39F6"/>
    <w:rsid w:val="0AEE6ECB"/>
    <w:rsid w:val="0B521A65"/>
    <w:rsid w:val="0B617938"/>
    <w:rsid w:val="0B725406"/>
    <w:rsid w:val="0BDE4D19"/>
    <w:rsid w:val="0C185F66"/>
    <w:rsid w:val="0C7927C4"/>
    <w:rsid w:val="0C8202E6"/>
    <w:rsid w:val="0CB01335"/>
    <w:rsid w:val="0CDB347F"/>
    <w:rsid w:val="0D02678E"/>
    <w:rsid w:val="0D492E50"/>
    <w:rsid w:val="0DE22AA3"/>
    <w:rsid w:val="0E295C0D"/>
    <w:rsid w:val="0E3621E8"/>
    <w:rsid w:val="0E804B06"/>
    <w:rsid w:val="0E834FB1"/>
    <w:rsid w:val="0E9D6C3E"/>
    <w:rsid w:val="0EF95E3E"/>
    <w:rsid w:val="0F2E3DC7"/>
    <w:rsid w:val="0F4C2412"/>
    <w:rsid w:val="0F5F3205"/>
    <w:rsid w:val="0F7C519D"/>
    <w:rsid w:val="0FB51D65"/>
    <w:rsid w:val="0FCF6C35"/>
    <w:rsid w:val="0FF07241"/>
    <w:rsid w:val="0FFB608E"/>
    <w:rsid w:val="100C06FE"/>
    <w:rsid w:val="1069219C"/>
    <w:rsid w:val="106F63B8"/>
    <w:rsid w:val="10BD12AE"/>
    <w:rsid w:val="10EF12A7"/>
    <w:rsid w:val="112440B3"/>
    <w:rsid w:val="112805FE"/>
    <w:rsid w:val="11425A17"/>
    <w:rsid w:val="11453416"/>
    <w:rsid w:val="118C7EA7"/>
    <w:rsid w:val="123C051C"/>
    <w:rsid w:val="12C75533"/>
    <w:rsid w:val="12E5130D"/>
    <w:rsid w:val="130C6665"/>
    <w:rsid w:val="1330447D"/>
    <w:rsid w:val="13360DF6"/>
    <w:rsid w:val="135B0533"/>
    <w:rsid w:val="13C3721D"/>
    <w:rsid w:val="13EF7D9F"/>
    <w:rsid w:val="13F27AB4"/>
    <w:rsid w:val="13F7003B"/>
    <w:rsid w:val="1417033E"/>
    <w:rsid w:val="143C159E"/>
    <w:rsid w:val="14847F58"/>
    <w:rsid w:val="15BA7014"/>
    <w:rsid w:val="15BC562A"/>
    <w:rsid w:val="16096F13"/>
    <w:rsid w:val="165F1839"/>
    <w:rsid w:val="16A0059F"/>
    <w:rsid w:val="170B476E"/>
    <w:rsid w:val="172D2B29"/>
    <w:rsid w:val="175E3991"/>
    <w:rsid w:val="178A3AD7"/>
    <w:rsid w:val="17CE27E0"/>
    <w:rsid w:val="18273B97"/>
    <w:rsid w:val="18412583"/>
    <w:rsid w:val="18CC5859"/>
    <w:rsid w:val="192F5045"/>
    <w:rsid w:val="19430F95"/>
    <w:rsid w:val="195B1BCF"/>
    <w:rsid w:val="19635C80"/>
    <w:rsid w:val="19956E33"/>
    <w:rsid w:val="19B40D6C"/>
    <w:rsid w:val="19C569D1"/>
    <w:rsid w:val="19DE5FA3"/>
    <w:rsid w:val="1A012BD0"/>
    <w:rsid w:val="1A274941"/>
    <w:rsid w:val="1AD579C7"/>
    <w:rsid w:val="1B203717"/>
    <w:rsid w:val="1B207491"/>
    <w:rsid w:val="1B8A0CEC"/>
    <w:rsid w:val="1BD45C69"/>
    <w:rsid w:val="1D1C3505"/>
    <w:rsid w:val="1D5F48E9"/>
    <w:rsid w:val="1D6A3488"/>
    <w:rsid w:val="1DBA3677"/>
    <w:rsid w:val="1DFE55C1"/>
    <w:rsid w:val="1E30279F"/>
    <w:rsid w:val="1E3C1C3F"/>
    <w:rsid w:val="1E734D0E"/>
    <w:rsid w:val="1EAD4560"/>
    <w:rsid w:val="1EB311F8"/>
    <w:rsid w:val="1EE505FC"/>
    <w:rsid w:val="1EFD43C6"/>
    <w:rsid w:val="1F242A63"/>
    <w:rsid w:val="1F3F164B"/>
    <w:rsid w:val="1F4E3F72"/>
    <w:rsid w:val="1FA77F0C"/>
    <w:rsid w:val="20A200E4"/>
    <w:rsid w:val="211A411E"/>
    <w:rsid w:val="21425423"/>
    <w:rsid w:val="21EB6275"/>
    <w:rsid w:val="232079E6"/>
    <w:rsid w:val="23287174"/>
    <w:rsid w:val="235843A2"/>
    <w:rsid w:val="237F64BA"/>
    <w:rsid w:val="239A6F9E"/>
    <w:rsid w:val="23A75A11"/>
    <w:rsid w:val="23BB66C4"/>
    <w:rsid w:val="24A77735"/>
    <w:rsid w:val="24C04FDC"/>
    <w:rsid w:val="24F84776"/>
    <w:rsid w:val="25053848"/>
    <w:rsid w:val="25826736"/>
    <w:rsid w:val="25BF05B0"/>
    <w:rsid w:val="26034B6D"/>
    <w:rsid w:val="2632037B"/>
    <w:rsid w:val="266B0F78"/>
    <w:rsid w:val="26BD7D43"/>
    <w:rsid w:val="26E45DBF"/>
    <w:rsid w:val="27250C4B"/>
    <w:rsid w:val="27280C17"/>
    <w:rsid w:val="281A735A"/>
    <w:rsid w:val="28921312"/>
    <w:rsid w:val="28E8377F"/>
    <w:rsid w:val="29100896"/>
    <w:rsid w:val="2965165F"/>
    <w:rsid w:val="2A7F5090"/>
    <w:rsid w:val="2B411449"/>
    <w:rsid w:val="2B9F405A"/>
    <w:rsid w:val="2BCC4BFF"/>
    <w:rsid w:val="2BF61105"/>
    <w:rsid w:val="2C4A1B03"/>
    <w:rsid w:val="2C891ED6"/>
    <w:rsid w:val="2CC55886"/>
    <w:rsid w:val="2CCC5A94"/>
    <w:rsid w:val="2CD014D8"/>
    <w:rsid w:val="2D32749B"/>
    <w:rsid w:val="2DBD655D"/>
    <w:rsid w:val="2E236882"/>
    <w:rsid w:val="2E7E04FD"/>
    <w:rsid w:val="2E9C675D"/>
    <w:rsid w:val="2EA87044"/>
    <w:rsid w:val="2EC92CDF"/>
    <w:rsid w:val="2ECD46EC"/>
    <w:rsid w:val="2EE96D84"/>
    <w:rsid w:val="2F3D71A1"/>
    <w:rsid w:val="2F4862FA"/>
    <w:rsid w:val="2F8368EF"/>
    <w:rsid w:val="2FA63021"/>
    <w:rsid w:val="2FBC4D4D"/>
    <w:rsid w:val="2FF0284F"/>
    <w:rsid w:val="3015672A"/>
    <w:rsid w:val="306B1215"/>
    <w:rsid w:val="30BD162B"/>
    <w:rsid w:val="31530A22"/>
    <w:rsid w:val="31543DB4"/>
    <w:rsid w:val="31BC3137"/>
    <w:rsid w:val="31C92A11"/>
    <w:rsid w:val="31E205F1"/>
    <w:rsid w:val="32096846"/>
    <w:rsid w:val="32245C4E"/>
    <w:rsid w:val="325D3E6B"/>
    <w:rsid w:val="326A7638"/>
    <w:rsid w:val="328A6C2A"/>
    <w:rsid w:val="329110B7"/>
    <w:rsid w:val="330E28F3"/>
    <w:rsid w:val="33435927"/>
    <w:rsid w:val="33C3551A"/>
    <w:rsid w:val="33DC0948"/>
    <w:rsid w:val="34120094"/>
    <w:rsid w:val="34367069"/>
    <w:rsid w:val="34482A7C"/>
    <w:rsid w:val="34697FB4"/>
    <w:rsid w:val="34D215CD"/>
    <w:rsid w:val="35470E02"/>
    <w:rsid w:val="3550169B"/>
    <w:rsid w:val="355510C8"/>
    <w:rsid w:val="361F4887"/>
    <w:rsid w:val="365C0584"/>
    <w:rsid w:val="365C1DF8"/>
    <w:rsid w:val="36620998"/>
    <w:rsid w:val="3676321B"/>
    <w:rsid w:val="368708D6"/>
    <w:rsid w:val="36F951FC"/>
    <w:rsid w:val="375D3724"/>
    <w:rsid w:val="37643EED"/>
    <w:rsid w:val="37732382"/>
    <w:rsid w:val="379D661E"/>
    <w:rsid w:val="37AE5168"/>
    <w:rsid w:val="38B15E3C"/>
    <w:rsid w:val="38E5105E"/>
    <w:rsid w:val="393A4A5C"/>
    <w:rsid w:val="395B4E7C"/>
    <w:rsid w:val="39653FE8"/>
    <w:rsid w:val="39935882"/>
    <w:rsid w:val="39DC1B23"/>
    <w:rsid w:val="39EE6F2D"/>
    <w:rsid w:val="3A2F7365"/>
    <w:rsid w:val="3AC36524"/>
    <w:rsid w:val="3B2C533B"/>
    <w:rsid w:val="3B5322AF"/>
    <w:rsid w:val="3B55519E"/>
    <w:rsid w:val="3B7A0443"/>
    <w:rsid w:val="3BA078E8"/>
    <w:rsid w:val="3BD71E31"/>
    <w:rsid w:val="3BF43FC7"/>
    <w:rsid w:val="3C2F2659"/>
    <w:rsid w:val="3C343F7A"/>
    <w:rsid w:val="3CC248E4"/>
    <w:rsid w:val="3D393870"/>
    <w:rsid w:val="3D6D4D60"/>
    <w:rsid w:val="3D761134"/>
    <w:rsid w:val="3DCE20C0"/>
    <w:rsid w:val="3DEC65C0"/>
    <w:rsid w:val="3E4A6387"/>
    <w:rsid w:val="3E9843C7"/>
    <w:rsid w:val="3EC73E39"/>
    <w:rsid w:val="3EF7710B"/>
    <w:rsid w:val="3F0F2990"/>
    <w:rsid w:val="3F3E1538"/>
    <w:rsid w:val="3F8623E1"/>
    <w:rsid w:val="3F9904AC"/>
    <w:rsid w:val="3FBD08D6"/>
    <w:rsid w:val="3FC67E6A"/>
    <w:rsid w:val="402E5098"/>
    <w:rsid w:val="409E221E"/>
    <w:rsid w:val="409E300D"/>
    <w:rsid w:val="40E65973"/>
    <w:rsid w:val="41615BE8"/>
    <w:rsid w:val="416801DF"/>
    <w:rsid w:val="41736541"/>
    <w:rsid w:val="41A41AB6"/>
    <w:rsid w:val="41D37CA5"/>
    <w:rsid w:val="41ED20BE"/>
    <w:rsid w:val="420F2BAF"/>
    <w:rsid w:val="42500C48"/>
    <w:rsid w:val="428E0DC7"/>
    <w:rsid w:val="42B5384F"/>
    <w:rsid w:val="42D60A09"/>
    <w:rsid w:val="430F7403"/>
    <w:rsid w:val="43D71351"/>
    <w:rsid w:val="43DB05DF"/>
    <w:rsid w:val="4489222E"/>
    <w:rsid w:val="4515356B"/>
    <w:rsid w:val="452E1696"/>
    <w:rsid w:val="455D0C75"/>
    <w:rsid w:val="4577064E"/>
    <w:rsid w:val="458245AF"/>
    <w:rsid w:val="46A5364A"/>
    <w:rsid w:val="46BF3FAF"/>
    <w:rsid w:val="46C92DA7"/>
    <w:rsid w:val="46DE067E"/>
    <w:rsid w:val="46F47F0A"/>
    <w:rsid w:val="46FD4A00"/>
    <w:rsid w:val="47A366C4"/>
    <w:rsid w:val="47AF6ABF"/>
    <w:rsid w:val="480A2F56"/>
    <w:rsid w:val="487B2CA8"/>
    <w:rsid w:val="4880045B"/>
    <w:rsid w:val="49265D6D"/>
    <w:rsid w:val="492A064C"/>
    <w:rsid w:val="493C1318"/>
    <w:rsid w:val="49971196"/>
    <w:rsid w:val="49E022B7"/>
    <w:rsid w:val="49EF7646"/>
    <w:rsid w:val="49F36343"/>
    <w:rsid w:val="49F72A00"/>
    <w:rsid w:val="4A2F792A"/>
    <w:rsid w:val="4AD351BA"/>
    <w:rsid w:val="4AD81C6A"/>
    <w:rsid w:val="4AE35C31"/>
    <w:rsid w:val="4B012B42"/>
    <w:rsid w:val="4B0B7BC5"/>
    <w:rsid w:val="4B186F94"/>
    <w:rsid w:val="4B4734B2"/>
    <w:rsid w:val="4B555FC2"/>
    <w:rsid w:val="4B7823A7"/>
    <w:rsid w:val="4B944784"/>
    <w:rsid w:val="4C081AA0"/>
    <w:rsid w:val="4C137B8E"/>
    <w:rsid w:val="4C475CA7"/>
    <w:rsid w:val="4CAB228F"/>
    <w:rsid w:val="4CB23570"/>
    <w:rsid w:val="4CFC5D7C"/>
    <w:rsid w:val="4D1660D4"/>
    <w:rsid w:val="4D3A6A24"/>
    <w:rsid w:val="4D680D9C"/>
    <w:rsid w:val="4D737FA6"/>
    <w:rsid w:val="4DA57322"/>
    <w:rsid w:val="4DB75AF6"/>
    <w:rsid w:val="4DBE3508"/>
    <w:rsid w:val="4E260633"/>
    <w:rsid w:val="4F085FB5"/>
    <w:rsid w:val="4F0C0C9A"/>
    <w:rsid w:val="4F251D5C"/>
    <w:rsid w:val="503F4497"/>
    <w:rsid w:val="50554125"/>
    <w:rsid w:val="507D4BEC"/>
    <w:rsid w:val="51270FAD"/>
    <w:rsid w:val="5165111A"/>
    <w:rsid w:val="51E7476B"/>
    <w:rsid w:val="52142A44"/>
    <w:rsid w:val="52927709"/>
    <w:rsid w:val="52C9193E"/>
    <w:rsid w:val="52D970E6"/>
    <w:rsid w:val="52ED4C1B"/>
    <w:rsid w:val="530879CB"/>
    <w:rsid w:val="538272C7"/>
    <w:rsid w:val="53FF0DCE"/>
    <w:rsid w:val="54045812"/>
    <w:rsid w:val="54377BCA"/>
    <w:rsid w:val="54880DC3"/>
    <w:rsid w:val="54BA7EAD"/>
    <w:rsid w:val="554D7917"/>
    <w:rsid w:val="563B478E"/>
    <w:rsid w:val="56530DB6"/>
    <w:rsid w:val="56623E31"/>
    <w:rsid w:val="56B50E51"/>
    <w:rsid w:val="56B77927"/>
    <w:rsid w:val="56E96206"/>
    <w:rsid w:val="56FB6C03"/>
    <w:rsid w:val="574074B7"/>
    <w:rsid w:val="57574A7D"/>
    <w:rsid w:val="576568F3"/>
    <w:rsid w:val="57B819BF"/>
    <w:rsid w:val="5832370F"/>
    <w:rsid w:val="58580AAD"/>
    <w:rsid w:val="58817419"/>
    <w:rsid w:val="58D07C3F"/>
    <w:rsid w:val="591311F4"/>
    <w:rsid w:val="59365BE1"/>
    <w:rsid w:val="59BA3148"/>
    <w:rsid w:val="59E96FC2"/>
    <w:rsid w:val="5A3E3CD2"/>
    <w:rsid w:val="5ADB0B97"/>
    <w:rsid w:val="5AEA0D31"/>
    <w:rsid w:val="5BB22BCA"/>
    <w:rsid w:val="5BBA0725"/>
    <w:rsid w:val="5BC7342D"/>
    <w:rsid w:val="5BCB750F"/>
    <w:rsid w:val="5C186C83"/>
    <w:rsid w:val="5C5419DA"/>
    <w:rsid w:val="5C704213"/>
    <w:rsid w:val="5C8A308B"/>
    <w:rsid w:val="5CA03327"/>
    <w:rsid w:val="5CD72E11"/>
    <w:rsid w:val="5D30277E"/>
    <w:rsid w:val="5D786768"/>
    <w:rsid w:val="5DA56542"/>
    <w:rsid w:val="5DA92192"/>
    <w:rsid w:val="5DB518C4"/>
    <w:rsid w:val="5DDE06D9"/>
    <w:rsid w:val="5DE84681"/>
    <w:rsid w:val="5DF63B3A"/>
    <w:rsid w:val="5E394CB8"/>
    <w:rsid w:val="5EE77E0D"/>
    <w:rsid w:val="5F195B9C"/>
    <w:rsid w:val="5F1D47FE"/>
    <w:rsid w:val="5F300033"/>
    <w:rsid w:val="5F41673E"/>
    <w:rsid w:val="5F49114F"/>
    <w:rsid w:val="5F593A88"/>
    <w:rsid w:val="5F5D13DA"/>
    <w:rsid w:val="5F613EF4"/>
    <w:rsid w:val="60A95C04"/>
    <w:rsid w:val="60CF7C1C"/>
    <w:rsid w:val="60D31618"/>
    <w:rsid w:val="610C4B2A"/>
    <w:rsid w:val="611C2F2E"/>
    <w:rsid w:val="613E71CA"/>
    <w:rsid w:val="616E7593"/>
    <w:rsid w:val="617970CF"/>
    <w:rsid w:val="618D38EF"/>
    <w:rsid w:val="619D5782"/>
    <w:rsid w:val="61C024E6"/>
    <w:rsid w:val="61E763FC"/>
    <w:rsid w:val="62003589"/>
    <w:rsid w:val="620B2E20"/>
    <w:rsid w:val="622017FD"/>
    <w:rsid w:val="622E0BDA"/>
    <w:rsid w:val="62563189"/>
    <w:rsid w:val="62A940F4"/>
    <w:rsid w:val="62A96AD4"/>
    <w:rsid w:val="635C1B0A"/>
    <w:rsid w:val="639553D8"/>
    <w:rsid w:val="63D15339"/>
    <w:rsid w:val="63D71080"/>
    <w:rsid w:val="63EC5146"/>
    <w:rsid w:val="64296F6B"/>
    <w:rsid w:val="64982F9E"/>
    <w:rsid w:val="64CA3D69"/>
    <w:rsid w:val="64E44AA8"/>
    <w:rsid w:val="6522491C"/>
    <w:rsid w:val="65273776"/>
    <w:rsid w:val="659D53C0"/>
    <w:rsid w:val="65D774B5"/>
    <w:rsid w:val="65EA7C3D"/>
    <w:rsid w:val="66426B08"/>
    <w:rsid w:val="66BA3E16"/>
    <w:rsid w:val="674F0AFE"/>
    <w:rsid w:val="67654F94"/>
    <w:rsid w:val="679854B9"/>
    <w:rsid w:val="680B4215"/>
    <w:rsid w:val="68277C2A"/>
    <w:rsid w:val="683935A0"/>
    <w:rsid w:val="684A39A6"/>
    <w:rsid w:val="68884840"/>
    <w:rsid w:val="68A970BB"/>
    <w:rsid w:val="68AC2EBA"/>
    <w:rsid w:val="68B664DF"/>
    <w:rsid w:val="68CD1E3D"/>
    <w:rsid w:val="68F20AA9"/>
    <w:rsid w:val="690901C4"/>
    <w:rsid w:val="69426910"/>
    <w:rsid w:val="694E2184"/>
    <w:rsid w:val="69C73BA0"/>
    <w:rsid w:val="69EC6E6E"/>
    <w:rsid w:val="6A487328"/>
    <w:rsid w:val="6ACF712D"/>
    <w:rsid w:val="6ADE7537"/>
    <w:rsid w:val="6AFB0FE0"/>
    <w:rsid w:val="6AFB19D0"/>
    <w:rsid w:val="6B68305E"/>
    <w:rsid w:val="6BCE4EB6"/>
    <w:rsid w:val="6BD90AC6"/>
    <w:rsid w:val="6C123F77"/>
    <w:rsid w:val="6C3E165F"/>
    <w:rsid w:val="6C737A30"/>
    <w:rsid w:val="6CEF1CFD"/>
    <w:rsid w:val="6CF462D6"/>
    <w:rsid w:val="6CF92406"/>
    <w:rsid w:val="6D003795"/>
    <w:rsid w:val="6D5F15C1"/>
    <w:rsid w:val="6D8F6A35"/>
    <w:rsid w:val="6DBB737C"/>
    <w:rsid w:val="6DD967DF"/>
    <w:rsid w:val="6DED40E1"/>
    <w:rsid w:val="6E02353D"/>
    <w:rsid w:val="6E193EB1"/>
    <w:rsid w:val="6E1C2FD8"/>
    <w:rsid w:val="6E260CDB"/>
    <w:rsid w:val="6E3E04EE"/>
    <w:rsid w:val="6E742D93"/>
    <w:rsid w:val="6E9058BE"/>
    <w:rsid w:val="6EB441EB"/>
    <w:rsid w:val="6EEA07A5"/>
    <w:rsid w:val="6F343262"/>
    <w:rsid w:val="6F404DB7"/>
    <w:rsid w:val="6F471223"/>
    <w:rsid w:val="6F776717"/>
    <w:rsid w:val="6F7F3E60"/>
    <w:rsid w:val="6F87179F"/>
    <w:rsid w:val="6F9E2AEE"/>
    <w:rsid w:val="705D77BB"/>
    <w:rsid w:val="706B1BDD"/>
    <w:rsid w:val="708E69A1"/>
    <w:rsid w:val="70963B59"/>
    <w:rsid w:val="70A54C98"/>
    <w:rsid w:val="70B62E6F"/>
    <w:rsid w:val="70B707BE"/>
    <w:rsid w:val="71E838ED"/>
    <w:rsid w:val="71EA67C2"/>
    <w:rsid w:val="71FB09CF"/>
    <w:rsid w:val="72535A09"/>
    <w:rsid w:val="72885781"/>
    <w:rsid w:val="728D76E0"/>
    <w:rsid w:val="72C8154C"/>
    <w:rsid w:val="72FF004B"/>
    <w:rsid w:val="72FF3958"/>
    <w:rsid w:val="732C2839"/>
    <w:rsid w:val="7344138E"/>
    <w:rsid w:val="738642C8"/>
    <w:rsid w:val="73965EDC"/>
    <w:rsid w:val="73B15A91"/>
    <w:rsid w:val="73DE1861"/>
    <w:rsid w:val="73E77E74"/>
    <w:rsid w:val="740D6797"/>
    <w:rsid w:val="751D0BD1"/>
    <w:rsid w:val="755304E9"/>
    <w:rsid w:val="75AB3B1B"/>
    <w:rsid w:val="75BD052B"/>
    <w:rsid w:val="763405FE"/>
    <w:rsid w:val="763B3A90"/>
    <w:rsid w:val="764A51BE"/>
    <w:rsid w:val="76D72BEA"/>
    <w:rsid w:val="76E5186D"/>
    <w:rsid w:val="76F906DB"/>
    <w:rsid w:val="76FF1F0F"/>
    <w:rsid w:val="770E5030"/>
    <w:rsid w:val="77534E09"/>
    <w:rsid w:val="776E2C70"/>
    <w:rsid w:val="77C96014"/>
    <w:rsid w:val="78C14DE0"/>
    <w:rsid w:val="78F235DE"/>
    <w:rsid w:val="78F82376"/>
    <w:rsid w:val="792B7B90"/>
    <w:rsid w:val="795D5ACB"/>
    <w:rsid w:val="798B743C"/>
    <w:rsid w:val="79C93160"/>
    <w:rsid w:val="79E248DB"/>
    <w:rsid w:val="7A222DE9"/>
    <w:rsid w:val="7A266805"/>
    <w:rsid w:val="7A2A6A26"/>
    <w:rsid w:val="7A982A54"/>
    <w:rsid w:val="7ADE2C3C"/>
    <w:rsid w:val="7AED7BAF"/>
    <w:rsid w:val="7B4927AB"/>
    <w:rsid w:val="7B4A207F"/>
    <w:rsid w:val="7C260998"/>
    <w:rsid w:val="7D0F2D4A"/>
    <w:rsid w:val="7D756300"/>
    <w:rsid w:val="7DAA1038"/>
    <w:rsid w:val="7E0060A2"/>
    <w:rsid w:val="7E6F61AB"/>
    <w:rsid w:val="7EB536D1"/>
    <w:rsid w:val="7F460DAF"/>
    <w:rsid w:val="7F985D2C"/>
    <w:rsid w:val="7F9C388A"/>
    <w:rsid w:val="7FBA57A9"/>
    <w:rsid w:val="7FE361F8"/>
    <w:rsid w:val="7FE64716"/>
    <w:rsid w:val="7FF91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bCs/>
      <w:kern w:val="2"/>
      <w:sz w:val="28"/>
      <w:szCs w:val="28"/>
      <w:lang w:val="en-US" w:eastAsia="zh-CN" w:bidi="ar-SA"/>
    </w:rPr>
  </w:style>
  <w:style w:type="paragraph" w:styleId="2">
    <w:name w:val="heading 1"/>
    <w:basedOn w:val="1"/>
    <w:next w:val="1"/>
    <w:qFormat/>
    <w:uiPriority w:val="9"/>
    <w:pPr>
      <w:keepNext/>
      <w:keepLines/>
      <w:spacing w:before="340" w:after="330" w:line="578" w:lineRule="auto"/>
      <w:outlineLvl w:val="0"/>
    </w:pPr>
    <w:rPr>
      <w:b/>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仿宋_GB2312" w:cs="Times New Roman"/>
      <w:kern w:val="2"/>
      <w:sz w:val="32"/>
      <w:szCs w:val="32"/>
      <w:lang w:val="en-US" w:eastAsia="zh-CN" w:bidi="ar"/>
    </w:rPr>
  </w:style>
  <w:style w:type="paragraph" w:styleId="4">
    <w:name w:val="Body Text First Indent"/>
    <w:basedOn w:val="3"/>
    <w:next w:val="1"/>
    <w:qFormat/>
    <w:uiPriority w:val="0"/>
    <w:pPr>
      <w:keepNext w:val="0"/>
      <w:keepLines w:val="0"/>
      <w:widowControl w:val="0"/>
      <w:suppressLineNumbers w:val="0"/>
      <w:spacing w:before="0" w:beforeAutospacing="0" w:after="0" w:afterAutospacing="0"/>
      <w:ind w:left="0" w:right="0" w:firstLine="420" w:firstLineChars="100"/>
      <w:jc w:val="center"/>
    </w:pPr>
    <w:rPr>
      <w:rFonts w:hint="default" w:ascii="Times New Roman" w:hAnsi="Times New Roman" w:eastAsia="宋体" w:cs="Times New Roman"/>
      <w:kern w:val="2"/>
      <w:sz w:val="44"/>
      <w:szCs w:val="20"/>
      <w:lang w:val="en-US" w:eastAsia="zh-CN" w:bidi="ar"/>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Arial" w:hAnsi="Arial" w:eastAsia="宋体" w:cs="Arial"/>
      <w:kern w:val="0"/>
      <w:sz w:val="24"/>
      <w:szCs w:val="24"/>
      <w:lang w:val="en-US" w:eastAsia="zh-CN" w:bidi="ar"/>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bCs w:val="0"/>
      <w:kern w:val="0"/>
      <w:sz w:val="24"/>
      <w:szCs w:val="24"/>
    </w:rPr>
  </w:style>
  <w:style w:type="paragraph" w:styleId="9">
    <w:name w:val="Title"/>
    <w:basedOn w:val="1"/>
    <w:next w:val="1"/>
    <w:qFormat/>
    <w:uiPriority w:val="0"/>
    <w:pPr>
      <w:ind w:firstLine="0" w:firstLineChars="0"/>
      <w:jc w:val="left"/>
      <w:outlineLvl w:val="0"/>
    </w:pPr>
    <w:rPr>
      <w:rFonts w:asciiTheme="majorHAnsi" w:hAnsiTheme="majorHAnsi" w:cstheme="majorBidi"/>
      <w:b/>
      <w:sz w:val="28"/>
      <w:szCs w:val="32"/>
    </w:rPr>
  </w:style>
  <w:style w:type="character" w:styleId="12">
    <w:name w:val="Strong"/>
    <w:basedOn w:val="11"/>
    <w:qFormat/>
    <w:uiPriority w:val="0"/>
    <w:rPr>
      <w:b/>
      <w:bCs/>
    </w:rPr>
  </w:style>
  <w:style w:type="character" w:styleId="13">
    <w:name w:val="FollowedHyperlink"/>
    <w:basedOn w:val="11"/>
    <w:qFormat/>
    <w:uiPriority w:val="0"/>
    <w:rPr>
      <w:color w:val="2D64B3"/>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Variable"/>
    <w:basedOn w:val="11"/>
    <w:qFormat/>
    <w:uiPriority w:val="0"/>
  </w:style>
  <w:style w:type="character" w:styleId="17">
    <w:name w:val="Hyperlink"/>
    <w:basedOn w:val="11"/>
    <w:qFormat/>
    <w:uiPriority w:val="0"/>
    <w:rPr>
      <w:color w:val="2D64B3"/>
      <w:u w:val="none"/>
    </w:rPr>
  </w:style>
  <w:style w:type="character" w:styleId="18">
    <w:name w:val="HTML Code"/>
    <w:basedOn w:val="11"/>
    <w:qFormat/>
    <w:uiPriority w:val="0"/>
    <w:rPr>
      <w:rFonts w:hint="default" w:ascii="Arial" w:hAnsi="Arial" w:cs="Arial"/>
      <w:sz w:val="20"/>
    </w:rPr>
  </w:style>
  <w:style w:type="character" w:styleId="19">
    <w:name w:val="HTML Cite"/>
    <w:basedOn w:val="11"/>
    <w:qFormat/>
    <w:uiPriority w:val="0"/>
  </w:style>
  <w:style w:type="character" w:styleId="20">
    <w:name w:val="HTML Keyboard"/>
    <w:basedOn w:val="11"/>
    <w:qFormat/>
    <w:uiPriority w:val="0"/>
    <w:rPr>
      <w:rFonts w:hint="eastAsia" w:ascii="Arial" w:hAnsi="Arial" w:cs="Arial"/>
      <w:sz w:val="20"/>
    </w:rPr>
  </w:style>
  <w:style w:type="character" w:styleId="21">
    <w:name w:val="HTML Sample"/>
    <w:basedOn w:val="11"/>
    <w:qFormat/>
    <w:uiPriority w:val="0"/>
    <w:rPr>
      <w:rFonts w:hint="default" w:ascii="Arial" w:hAnsi="Arial" w:cs="Arial"/>
    </w:rPr>
  </w:style>
  <w:style w:type="character" w:customStyle="1" w:styleId="22">
    <w:name w:val="anticon46"/>
    <w:basedOn w:val="11"/>
    <w:qFormat/>
    <w:uiPriority w:val="0"/>
    <w:rPr>
      <w:vanish/>
    </w:rPr>
  </w:style>
  <w:style w:type="character" w:customStyle="1" w:styleId="23">
    <w:name w:val="last-child"/>
    <w:basedOn w:val="11"/>
    <w:qFormat/>
    <w:uiPriority w:val="0"/>
  </w:style>
  <w:style w:type="character" w:customStyle="1" w:styleId="24">
    <w:name w:val="first-child"/>
    <w:basedOn w:val="11"/>
    <w:qFormat/>
    <w:uiPriority w:val="0"/>
    <w:rPr>
      <w:sz w:val="14"/>
      <w:szCs w:val="14"/>
    </w:rPr>
  </w:style>
  <w:style w:type="character" w:customStyle="1" w:styleId="25">
    <w:name w:val="first-child1"/>
    <w:basedOn w:val="11"/>
    <w:qFormat/>
    <w:uiPriority w:val="0"/>
    <w:rPr>
      <w:sz w:val="14"/>
      <w:szCs w:val="14"/>
    </w:rPr>
  </w:style>
  <w:style w:type="character" w:customStyle="1" w:styleId="26">
    <w:name w:val="after"/>
    <w:basedOn w:val="11"/>
    <w:qFormat/>
    <w:uiPriority w:val="0"/>
    <w:rPr>
      <w:bdr w:val="single" w:color="333333" w:sz="2" w:space="0"/>
    </w:rPr>
  </w:style>
  <w:style w:type="character" w:customStyle="1" w:styleId="27">
    <w:name w:val="content14"/>
    <w:basedOn w:val="11"/>
    <w:qFormat/>
    <w:uiPriority w:val="0"/>
  </w:style>
  <w:style w:type="character" w:customStyle="1" w:styleId="28">
    <w:name w:val="hover6"/>
    <w:basedOn w:val="11"/>
    <w:qFormat/>
    <w:uiPriority w:val="0"/>
    <w:rPr>
      <w:color w:val="0AB76D"/>
    </w:rPr>
  </w:style>
  <w:style w:type="paragraph" w:customStyle="1" w:styleId="29">
    <w:name w:val="List Paragraph"/>
    <w:basedOn w:val="1"/>
    <w:unhideWhenUsed/>
    <w:qFormat/>
    <w:uiPriority w:val="99"/>
    <w:pPr>
      <w:ind w:firstLine="420" w:firstLineChars="200"/>
    </w:pPr>
  </w:style>
  <w:style w:type="character" w:customStyle="1" w:styleId="30">
    <w:name w:val="nth-child(1)"/>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3826</Words>
  <Characters>3995</Characters>
  <Lines>0</Lines>
  <Paragraphs>0</Paragraphs>
  <TotalTime>2</TotalTime>
  <ScaleCrop>false</ScaleCrop>
  <LinksUpToDate>false</LinksUpToDate>
  <CharactersWithSpaces>4010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wc</dc:creator>
  <cp:lastModifiedBy>王序青</cp:lastModifiedBy>
  <cp:lastPrinted>2022-07-15T04:43:00Z</cp:lastPrinted>
  <dcterms:modified xsi:type="dcterms:W3CDTF">2022-07-15T09:31:31Z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2D0345449B99470A909BA1A97F1E1EE6</vt:lpwstr>
  </property>
</Properties>
</file>